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defaultThemeVersion="124226"/>
  <mc:AlternateContent xmlns:mc="http://schemas.openxmlformats.org/markup-compatibility/2006">
    <mc:Choice Requires="x15">
      <x15ac:absPath xmlns:x15ac="http://schemas.microsoft.com/office/spreadsheetml/2010/11/ac" url="S:\NEATBILSTĪBAS\Neatbilstību_apkopojums_ESFUD\ESFIPD_neatb._materiāli_DARBAM\Sarakste, materiāli\IMS\IZN ar CFLA_IMS lauku skaidrojumi\"/>
    </mc:Choice>
  </mc:AlternateContent>
  <bookViews>
    <workbookView xWindow="0" yWindow="0" windowWidth="28800" windowHeight="11628"/>
  </bookViews>
  <sheets>
    <sheet name="IMS lauki_2014-2020" sheetId="3" r:id="rId1"/>
  </sheets>
  <calcPr calcId="0" iterateDelta="1E-4"/>
</workbook>
</file>

<file path=xl/sharedStrings.xml><?xml version="1.0" encoding="utf-8"?>
<sst xmlns="http://schemas.openxmlformats.org/spreadsheetml/2006/main" count="253" uniqueCount="236">
  <si>
    <t>Reference number - OLAF</t>
  </si>
  <si>
    <t>4.1.4 Amount of expenditure</t>
  </si>
  <si>
    <t>4.1.5 Amount of irregularity</t>
  </si>
  <si>
    <t>4.2 Total amount of expenditure</t>
  </si>
  <si>
    <t>4.3 Total amount of irregularity</t>
  </si>
  <si>
    <t>6.8 Type of irregularity</t>
  </si>
  <si>
    <t>7.7 OLAF number</t>
  </si>
  <si>
    <t>8.1 Amount of expenditure</t>
  </si>
  <si>
    <t>8.2 Amount of irregularity</t>
  </si>
  <si>
    <t>8.2.1 whereof not paid</t>
  </si>
  <si>
    <t>8.2.2 whereof paid</t>
  </si>
  <si>
    <t>8.3 Amount to recover</t>
  </si>
  <si>
    <t>9.3 Amount to recover</t>
  </si>
  <si>
    <t>9.4 Amount deducted, written off etc</t>
  </si>
  <si>
    <t>9.5 Amount recovered</t>
  </si>
  <si>
    <t>9.6 Balance to recover</t>
  </si>
  <si>
    <t>1.2 Year</t>
  </si>
  <si>
    <t>1.5 Initiating authority - complete name</t>
  </si>
  <si>
    <t>1.6 Request language</t>
  </si>
  <si>
    <t>1.7 Currency</t>
  </si>
  <si>
    <t>1.8 Exchange rate applied</t>
  </si>
  <si>
    <t>1.9 National currency</t>
  </si>
  <si>
    <t>1.11 Quarter</t>
  </si>
  <si>
    <t>1.12 New modus operandi</t>
  </si>
  <si>
    <t>1.13 Necessity to inform other countries</t>
  </si>
  <si>
    <t>1.14 Person found in other case(s)</t>
  </si>
  <si>
    <t>1.17 Case closure date</t>
  </si>
  <si>
    <t>1.18 Case irrecoverable</t>
  </si>
  <si>
    <t>2.1.2 National ID number</t>
  </si>
  <si>
    <t>2.1.4 Company name / Family name</t>
  </si>
  <si>
    <t>2.1.7 Street</t>
  </si>
  <si>
    <t>2.1.8 Postcode</t>
  </si>
  <si>
    <t>2.1.9 City</t>
  </si>
  <si>
    <t>2.1.10 Country</t>
  </si>
  <si>
    <t>2.1.11 NUTS level 1</t>
  </si>
  <si>
    <t>2.1.12 NUTS level 2</t>
  </si>
  <si>
    <t>2.1.13 NUTS level 3</t>
  </si>
  <si>
    <t>2.2 Justification for non disclosure</t>
  </si>
  <si>
    <t>3.13 Country</t>
  </si>
  <si>
    <t>3.14 NUTS level 1</t>
  </si>
  <si>
    <t>3.15 NUTS level 2</t>
  </si>
  <si>
    <t>3.16 NUTS level 3</t>
  </si>
  <si>
    <t>3.17 Competent authority</t>
  </si>
  <si>
    <t>4.1.1 Project - name</t>
  </si>
  <si>
    <t>4.1.2 Project - number</t>
  </si>
  <si>
    <t>4.1.3 Co-financing rate</t>
  </si>
  <si>
    <t>6.2 Source</t>
  </si>
  <si>
    <t>6.4 Provisions - national</t>
  </si>
  <si>
    <t>6.7.1 From</t>
  </si>
  <si>
    <t>6.7.2 To</t>
  </si>
  <si>
    <t>6.9 Modus operandi</t>
  </si>
  <si>
    <t>7.1 Date of discovery (PACA)</t>
  </si>
  <si>
    <t>7.2 Reason for performing a control (why)</t>
  </si>
  <si>
    <t>7.3 Type and/or method of control (how)</t>
  </si>
  <si>
    <t>9.1 Start date of procedure</t>
  </si>
  <si>
    <t>9.2 Expected end date of procedure</t>
  </si>
  <si>
    <t>9.7 Amount repaid to the EU budget</t>
  </si>
  <si>
    <t>9.8 Amount retained by the country</t>
  </si>
  <si>
    <t>9.9 Amount of interest charged</t>
  </si>
  <si>
    <t>9.10 Recovery procedures already launched</t>
  </si>
  <si>
    <t>9.11 Recovery measures already taken</t>
  </si>
  <si>
    <t>9.12 End date of procedure</t>
  </si>
  <si>
    <t>10.3 Start date of procedure</t>
  </si>
  <si>
    <t>10.4 Expected end date of procedure</t>
  </si>
  <si>
    <t>10.6.2 Type</t>
  </si>
  <si>
    <t>10.6.3 Sanctions applied</t>
  </si>
  <si>
    <t>10.6.4 Fines applied</t>
  </si>
  <si>
    <t>10.7 End date of procedure</t>
  </si>
  <si>
    <t>IRQ2</t>
  </si>
  <si>
    <t>IRQ3</t>
  </si>
  <si>
    <t>IRQ5</t>
  </si>
  <si>
    <t>NATR = No amount to be recovered</t>
  </si>
  <si>
    <t>ATBC = Amount to be calculated</t>
  </si>
  <si>
    <t>RTBS = Recovery to be started</t>
  </si>
  <si>
    <t>Lieto gadījumos, kad NVI apjoms ir zināms t.i., FS nosūtīta vēstule par NVI konstatēšanu, tomēr atgūšana vēl nav uzsākta. Piemēram, nosūtīta vēstule FS, bet atgūšana notiks saskaņa ar grafiku un pirmā atgūšana būs pēc pusgada vai FS nosūtīta vēstule par NVI konstatēšanu, tomēr atgūšana kādu iemeslu dēļ uz laiku atlikta.</t>
  </si>
  <si>
    <t>RUNW = Recovery under way</t>
  </si>
  <si>
    <t>Lieto gadījumos, kad uzsākta atgūšana.</t>
  </si>
  <si>
    <t>ALRS = Appeal lodged and recovery suspended</t>
  </si>
  <si>
    <t>Lieto gadījumos, kad FS iesniedzis pārsūdzību un atgūšana apturēta.</t>
  </si>
  <si>
    <t>ACRL = Appeal completed and recovery launched</t>
  </si>
  <si>
    <t>Lieto gadījumos, kad FS iesniedzis pārsūdzību, bet izdevumu ieturēšana/atgūšana tiek turpināta.</t>
  </si>
  <si>
    <t>FULR = Full recovery</t>
  </si>
  <si>
    <t>EUSW = EU-share withdrawn, expenditure fully charged to national budget</t>
  </si>
  <si>
    <t>AIRR = Amount irrecoverable</t>
  </si>
  <si>
    <t>P1 - before payment</t>
  </si>
  <si>
    <t>P2 - after payment</t>
  </si>
  <si>
    <t>6.1 Date - Information leading to a suspicion of an irregularity</t>
  </si>
  <si>
    <t>6.3. laukā norādāmā regula</t>
  </si>
  <si>
    <t>1.16 Financial status:</t>
  </si>
  <si>
    <t xml:space="preserve">Lieto visos gadījumos, izņemot, ja neatbilstības veids ir "Aizodmas par krāpšanu vai organizēto noziedzību" un "Krāpšana". </t>
  </si>
  <si>
    <t>SP1 – no decision yet</t>
  </si>
  <si>
    <t>SP2 – decision: no sanction</t>
  </si>
  <si>
    <t>10.1 Procedures initiated to impose penalties:</t>
  </si>
  <si>
    <t>SP3 – decision: sanction will be imposed but awaiting type of sanction(s)</t>
  </si>
  <si>
    <t>SP4 – decision: sanction imposed</t>
  </si>
  <si>
    <t>ADM – administrative</t>
  </si>
  <si>
    <t>PEN – penal</t>
  </si>
  <si>
    <t>PXX – administrative as well as penal</t>
  </si>
  <si>
    <t>10.2 Type of procedure:</t>
  </si>
  <si>
    <t>Ievada ES nedeklarēto finansējumu atbilstoši KP VIS neatbilstību sadaļas apakšadaļā "neatbilstības summas sadalījums un atgūšana" kolonnā "nedeklarētā" norādītajām vērtībām.</t>
  </si>
  <si>
    <t>Ievada ES deklarēto finansējumu atbilstoši KP VIS neatbilstību sadaļas apakšadaļā "neatbilstības summas sadalījums un atgūšana" kolonnā "deklarētā" norādītajām vērtībām.</t>
  </si>
  <si>
    <t>Ievada neatbilstības lēmuma pieņemšanas datumu atbilstoši KP VIS laukā "lēmuma pieņemšanas datums" norādītajam datumam.</t>
  </si>
  <si>
    <t>Ievada datumu, kad 10.1. laukā minētā procedūra uzsākta. Gadījumos, kad precīzs procedūras uzsākšanas datums nav zināms (piemēram, tiesībsargājošā iestāde informē par procesa uzsākšanu, bet nemin procesa uzsākšanas datumu), laukā ievada tiesībsargājošās iestādes vēstules datumu, kurā tā informē par uzsākto precedūru.</t>
  </si>
  <si>
    <t>INIT – Initiated</t>
  </si>
  <si>
    <t>COMP – Completed</t>
  </si>
  <si>
    <t>ABAN – Abandoned</t>
  </si>
  <si>
    <t>10.5 Status of procedure:</t>
  </si>
  <si>
    <t>10. SANCTIONS</t>
  </si>
  <si>
    <t>Lieto gadījumos, kad administratīvais process / kriminālprocess ir izbeigts t.i., saņemts lēmums par procesa izbeigšanu (sods netika piemērots).</t>
  </si>
  <si>
    <t>Lieto gadījumos, kad administratīvais process / kriminālprocess ir uzsākts.</t>
  </si>
  <si>
    <t>7. DETECTION</t>
  </si>
  <si>
    <t>8. AMOUNTS</t>
  </si>
  <si>
    <t>9. RECOVERY</t>
  </si>
  <si>
    <t>10.6 Sanctions:</t>
  </si>
  <si>
    <t>S1 – administrative</t>
  </si>
  <si>
    <t>S5 – penal</t>
  </si>
  <si>
    <t>Ievadāms ierosināto sankciju tips.</t>
  </si>
  <si>
    <t>Lieto gadījumos, kad administratīvais process / kriminālprocess ir pabeigts un pieņemts lēmums.</t>
  </si>
  <si>
    <t>Sistēma automātiski ģenerē pilnu sankciju aprakstu, ņemot vērā laukā 10.6.1. un 10.6.2. norādītās vērtības.</t>
  </si>
  <si>
    <t>1. IDENTIFICATION</t>
  </si>
  <si>
    <t>Standarta situācijās ievada vērtību "0". Lauka aktivizācijas (no "0" pārslēdzot to uz "I") nepieciešamība un sekas aprakstītas IMS rokasgrāmatā.</t>
  </si>
  <si>
    <t>1.15 Proceedings:</t>
  </si>
  <si>
    <t>PP - Penal proceedings</t>
  </si>
  <si>
    <t>JP - Judicial preceedings</t>
  </si>
  <si>
    <t>AP - Administrative proceedings</t>
  </si>
  <si>
    <t>2. PERSONAL DATA</t>
  </si>
  <si>
    <t>3.4.-3.12</t>
  </si>
  <si>
    <t>Ievada neabilstības kopējo apmēru, atsevišķi norādot ES fondu finansējumu un valsts budžeta finansējumu t.sk. valsts budžeta dotācijas pašvaldībām atbilstoši KP VIS neatbilstību sadaļās apakšsadaļā "neatbilstības summas sadalījums un atgūšaana" norādītajam.</t>
  </si>
  <si>
    <t>3. OPERATION - GENERAL</t>
  </si>
  <si>
    <t>4. OPERATION - SPECIFIC</t>
  </si>
  <si>
    <t>5. OPERATION SPECIFIC - AGRICULTURE</t>
  </si>
  <si>
    <t>6. IRREGULARITY</t>
  </si>
  <si>
    <t>Ievada avotu, no kā saņemta informācija par iespējamo neatbilstību, pamatojoties uz KP VIS laukos "iestāde, kas atklājusi neatbilstību", "neatbilstības atklāšanas veids" un "neatbilstības būtība" norādīto informāciju.</t>
  </si>
  <si>
    <t>Laukā apraksta neatbilstības būtību atbilstoši KP VIS laukā "neatbilstības būtība" esošajai informācijai.</t>
  </si>
  <si>
    <t>P3 - before as well as after payment</t>
  </si>
  <si>
    <t>7.4 Control carried out before or after payment:</t>
  </si>
  <si>
    <t>Ievada informāciju par veiktajām/ ierosinātajām darbībām finansējuma atgūšanai.</t>
  </si>
  <si>
    <t>Ievada informāciju par veiktajiem atgūšanas pasākumiem.</t>
  </si>
  <si>
    <t>6.12 Classification of the irregularity:</t>
  </si>
  <si>
    <t>6.7 Irregularity committed on / between:</t>
  </si>
  <si>
    <t>6.3 Provisions - EU:</t>
  </si>
  <si>
    <t>4.4 Control carried out before or after payment:</t>
  </si>
  <si>
    <t>10.6.1 Category:</t>
  </si>
  <si>
    <t>Lieto gadījumos, kad admimistratīvais process vai kriminālprocess ir pabeigts un pieņemts lēmums piemērot sankcijas t.i., sodu.</t>
  </si>
  <si>
    <t xml:space="preserve">Lieto gadījumos, kad konstatēti vairāki pārkāpumi, piemēram, par vienu uzsākts kriminālprocess, savukārt par citu administratīvais process. </t>
  </si>
  <si>
    <t>Lieto gadījumos, ja pieņemts lēmums piemērot administratīvu sodu.</t>
  </si>
  <si>
    <t>Lieto gadījumos, ja pieņemts lēmums piemērot kriminālsodu.</t>
  </si>
  <si>
    <t>Ievada procedūras beigu datumu/lēmuma datumu.</t>
  </si>
  <si>
    <t>Lieto gadījumos, kad uzsākts administratīvais process.</t>
  </si>
  <si>
    <t>Lieto gadījumos, kad uzsākts kriminālprocess.</t>
  </si>
  <si>
    <t>Lieto gadījumos, kad neatbilstība attiecas gan uz daļu, kas jau izmaksāta FS, gan to daļu, kuru iespējams ieturēt no MP.</t>
  </si>
  <si>
    <t>Ievada pret EK atgūstamo NVI apmēru t.i., EK deklarēto daļu. Vērtībai šajā laikā jāsakrīt ar laukā 8.2.2. ievadīto vērtību.</t>
  </si>
  <si>
    <t>Lauks nav jāaizpilda.</t>
  </si>
  <si>
    <t>Ievada iestādes, kas pieņēmusi lēmumu par neatbilstību, nosaukumu. Attiecībā uz 2014.-2020. gada plānošanas periodu laukā vienmēr būs norādāma Centrālā finanšu un līgumu aģentūra (CFLA).</t>
  </si>
  <si>
    <t>Ievada abreviatūru "EUR".</t>
  </si>
  <si>
    <t>Ievada abreviatūru "LV".</t>
  </si>
  <si>
    <t>Lauku aktivizē tikai gadījumos, kad neatbilstībai var būt sekas ārpus Latvijas, lai par situāciju informētu citas dalībvalstis.</t>
  </si>
  <si>
    <t>CCEU = Clearance - changed to EU budget</t>
  </si>
  <si>
    <t>CCNB = Clearance - changed to national budget</t>
  </si>
  <si>
    <t>CCBB = Clearance - changed to EU budget and national budget</t>
  </si>
  <si>
    <t>Lieto gadījumos, kad EK piekritusi NVI segt no ES vispārējā budžeta. NVI apmērs, kas segts no ES vispārējā budžeta jānorāda laukā 9.4.</t>
  </si>
  <si>
    <t>Lieto gadījumos, kad NVI tiek segti no nacionālā budžeta. NVI apmērs, kas segts no nacionālā budžeta jānorāda laukā 9.4.</t>
  </si>
  <si>
    <t>Lieto gadījumos, kad NVI tiek segti gan no ES vispārējā, gan nacionālā budžeta. NVI apmērs, kas segts no ES vispārējā un nacionālā budžeta  jānorāda laukā 9.4.</t>
  </si>
  <si>
    <t>Lieto gadījumos, kad NVI kādu iemeslu dēļ nav atgūstami un tiek gaidīts EK lēmums. Piemēram, FS banktorējis un dalībvalsts par to ziņojusi EK, lūdzot finansējumu segt no ES vispārējā budžeta. Piemērojot šo klasifikatoru, jāaktivizē lauks 1.18. Tāpat, piemērojot šo klasifikatoru, laukā 9.6. vērtība vienmēr būs lielāka par "0.00". Tiklīdz saņemta informācija no EK, klasifikators jānomaina uz "CCEU", "CCNB" vai "CCBB".</t>
  </si>
  <si>
    <t>Lieto gadījumos, kad NVI pilnībā atgūti.</t>
  </si>
  <si>
    <t>Lieto gadījumos, kad neatbilstība konstatēta izskatot maksājuma pieprasījumu (MP) un viss NVI apjoms tiek ieturēts (fiziski nekas netiek izmaksāts).</t>
  </si>
  <si>
    <t>Lieto, ja neatbilstības veids ir "Aizdomas par krāpšanu vai organizēto noziedzību", kad notiek tiesībsargājošo iestāžu izmeklēšana, līdz ar to precīzs ietekmētā finansējuma apjoms vēl nav zināms.</t>
  </si>
  <si>
    <t>Lieto gadījumos, kad NVI tiek segti no dalībvalsts uzņemtajām virssaistībām.</t>
  </si>
  <si>
    <t>Ievada FS reģistrācijas numuru.</t>
  </si>
  <si>
    <t>Ievada FS nosaukumu.</t>
  </si>
  <si>
    <t>Ievada FS reģistrēto adresi.</t>
  </si>
  <si>
    <t>Ievada FS reģistrētās adreses pasta indeksu.</t>
  </si>
  <si>
    <t>Ievada pilsētas nosaukumu, kurā FS reģistrēts.</t>
  </si>
  <si>
    <t>Ievada "n/a", ja nav attiecināms.</t>
  </si>
  <si>
    <r>
      <t xml:space="preserve">No piedāvātajām iespējām, izvēlās atbilstošo t.i, teritorijas indeksu, </t>
    </r>
    <r>
      <rPr>
        <sz val="8"/>
        <color theme="1"/>
        <rFont val="Arial"/>
        <family val="2"/>
        <charset val="186"/>
      </rPr>
      <t>kur FS reģistrēts.</t>
    </r>
  </si>
  <si>
    <t>Ievada informāciju par darbības programmu un aktivitāti.</t>
  </si>
  <si>
    <t>No piedāvātajām iespējām, izvēlās atbilstošo t.i, teritorijas indeksu, kur projekts īstenots.</t>
  </si>
  <si>
    <t>Ievada iestādes, kas pieņēmusi lēmumu par neatbilstību, nosaukumu. Attiecībā uz 2014.-2020. gada plānošanas periodu laukā vienmēr būs norādāma CFLA.</t>
  </si>
  <si>
    <t>Ievada ES līdzfinansējuma likmi atbilstoši KP VIS sadaļā "Pamatdati" norādītajam.</t>
  </si>
  <si>
    <t>Ievada pirmo reizi saņemtās informācijas datumu atbilstoši KP VIS laukā "Pirmo reizi saņemtās informācijas datums" norādītajam datumam.</t>
  </si>
  <si>
    <t>Skaidrojums</t>
  </si>
  <si>
    <t>Standarta situācijā ievada datumu atbilstoši KP VIS laukā "Pirmo reizi saņemtās informācijas datums" norādītajam datumam (tāpat kā laukā 6.1.), tomēr izņēmuma gadījumos šis datums var atšķirties no 6.1. laukā norādītā datuma.
Ja precīzs mēneša datums nav zināms, saskaņā ar IMS rokasgrāmatā minēto, laukā var tikt norādīts attiecīgā mēneša pirmais datums.</t>
  </si>
  <si>
    <t>Lieto gadījumos, ja neatbilstības veids ir "Aizdomas par krāpšanu vai organizēto noziedzību".</t>
  </si>
  <si>
    <t>Izvēlās atbilstošāko no sistēmas piedāvātajām iespējām.</t>
  </si>
  <si>
    <t>Lieto gadījumos, kad neatbilstība konstatēta izskatot MP un NVI apjoms tiek ieturēts (fiziski nekas netiek izmaksāts).</t>
  </si>
  <si>
    <t>OLAF aizpilda sadaļu tikai gadījumā, ja neatbilstība atklāta OLAF izmeklēšanas rezultātā.</t>
  </si>
  <si>
    <t>Ievada pret EK atgūstamo NVI apmēru t.i., EK deklarēto daļa. Vērtībai šajā laikā jāsakrīt ar laukā 8.3. ievadīto vērtību.</t>
  </si>
  <si>
    <t>Ievada NVI, kas atgūti atmaksas rezultātā (FS atgriež tam izmaksāto finansējumu, piemēram, pildot ar CFLA noslēgto vienošanos par atmaksas grafiku).</t>
  </si>
  <si>
    <t>Ievada:
• no kārtējā MP ieturētos NVI;
• no noslēguma MP ieturētos NVI;
• NVI, kas segti no ES vispārējā un/vai nacionālā budžeta (ja laukā 1.16. ievadīts klasifikators "CCEU", "CCNB" vai "CCBB"). 
Ja visa NVI summa ieturēta no MP, tad šim laukam jāsakrīt ar 8.2. un 9.3. lauku.</t>
  </si>
  <si>
    <t>Ievada neatbilstības summu, kas vēl ieturama/ atgūstama no FS. Neatbilstību slēdzot, šajā laukā jābūt vērtībai "0.00".</t>
  </si>
  <si>
    <t>Lieto gadījumos, kad zināms, ka par konstatēto pārkāpumu ir uzsākts, piemēram, administratīvais vai kriminālprocess, bet kompetentā iestāde gala lēmumu vēl nav pieņēmusi.</t>
  </si>
  <si>
    <t xml:space="preserve">Lieto gadījumos, kad zināms, ka par konstatēto pārkāpumu ir uzsākts, piemēram, administratīvais vai kriminālprocess, bet no kompetentās iestādes saņemta informācija, ka pieņemts lēmums par sankciju piemērošanu, bet vēl nav pieņemts lēmums par piemērojamā soda veidu. </t>
  </si>
  <si>
    <t>Informatīvs lauks (nav obligāti aizpildāms), kurā jāievada paredzamais procedūras izbeigšanas laiks, ja tas indikatīvi ir zināms. Tā kā ne vienmēr tas ir zināms vai arī tas var mainīties, informācija laukā var tikt mainīta. Ja paredzamais procedūras izbeigšanas laiks nav zināms, lauks nav jāaipzilda.
Neatbilstību slēdzot, informācijai šajā laukā jāsakrīt ar informāciju laukā 10.7.</t>
  </si>
  <si>
    <t>Norāda noteiktās soda naudas apmēru, ja attiecināms. Ja soda nauda nav noteikta, lauks jāatstāj tukšs.
Saskaņā ar IMS rokasgrāmatā noteiko, "0.00" norādīšana laukā nozīmē, ka soda nauda tika piemērota.</t>
  </si>
  <si>
    <t>Ievada neatbilstības lēmuma pieņemšanas datumu atbilstoši KP VIS laukā "lēmuma pieņemšanas datums" norādītajam datumam. Šim datumam, ja vien nav būtiskas izmaiņas pašā neatbilstības lēmumā (piemēram, tiek grozīts piemērotās finanšu korekcijas apjoms), IMS nevajadzētu mainīties.</t>
  </si>
  <si>
    <t>Slēgtajām neatbilstībām sistēma automātiski norāda slēgšanas datumu.</t>
  </si>
  <si>
    <t>Lieto gadījumos, kad neatbilstība konstatēta pēc tam, kad izdevumi, uz kuriem tā attiecināma, FS jau ir veikti, piemēram, projekta noslēguma posmā konstatēta neatbilstība ar veidu "Aizdomas par krāpšanu vai organizēto noziedzību".</t>
  </si>
  <si>
    <t>Ievada projekta kopējo finansējumu, dalījumā pa finanšu avotiem atbilstoši KP VIS sadaļā "Pamatdati" norādītajam.
Kopējai noziņotajai summai jāietver arī privāto/pašvaldības finansējumu (lauks "private share"). Ja nav privātā/pašvaldības finansējuma, tad laukā „Private share” norāda “0”.</t>
  </si>
  <si>
    <t xml:space="preserve">Ievadot ziņojuma gadu, sistēmā automātiski tiek piešķirts tekošais ziņošanas gads. To iespējams manuāli koriģēt gadījumā, ja neatbilstības ziņojums attiecas uz iepriekšējo gadu. 
OBLIGĀTI jākoriģē visu to neatbilstību ziņojumu gads, kuri tiek ievadīti EK/OLAF IMS no kārtējā gada 1.janvāra līdz 28.februārim, bet attiecas uz iepriekšējo pārskata gadu. </t>
  </si>
  <si>
    <t>Sadaļa attiecās tikai uz neatbilstībām, kas konstatētas Eiropas Lauksaimniecības garantiju fonda un Eiropas Lauksaimniecības fonda lauku attīstībai īstenošanā. ES fondu un Kohēzijas fonda projektiem sadaļu neaizpilda.</t>
  </si>
  <si>
    <t>Obligāti jānorāda pārkāptais ES tiesību akts. Ņemot vērā darba grupas par Eiropas Savienības struktūrfondu un Kohēzijas fonda projektos identificēto neatbilstību ziņošanu Eiropas Komisijai sanāksmes par 2019.gada III ceturksnī konstatētajām neatbilstībām protokola Nr.5.2-1/11/72 1.2. a) apakšpunktā panākto vienošanos, lauks aizpildāms šādi:</t>
  </si>
  <si>
    <t>Obligāti norāda nacionālo normatīvo aktu, kas pārkāpts.</t>
  </si>
  <si>
    <t>Norāda neatbilstību tipu - visatbilstošāko no sistēmas piedāvātajām iespējām.
Kategorijā “Publiskais iepirkums” (T40) ir iespēja izvēlēties neatbilstības veidu, kas atbilst EK finanšu korekciju vadlīnijās par iepirkumu pārkāpumiem noteiktajam un kas iestrādāts VI vadlīniju Nr. 2.7 5.pielikumā</t>
  </si>
  <si>
    <t>SIG</t>
  </si>
  <si>
    <t xml:space="preserve">Iespējama neatbilstība. Šādi gadījumi netiek ziņoti EK/OLAF un ir izmantojami ES fondu vadībā iesaistīto institūciju vajadzībām. Taču gadījumos, kad informācija par iespējamu neatbilstību ir pietiekama, lai pieņemtu lēmumu par neatbilstību, ziņojumā ir jāprecizē neatbilstības veids, nomainot to uz IRQ2 vai IRQ3, un jānosūta EK/OLAF.  </t>
  </si>
  <si>
    <t>Lieto neatbilstību gadījumos, kas nav "aizdomas par krāpšanu vai organizēto noziedzību" vai "krāpšana", kad netiek iesaistītas tiesībsargājošās iestādes.</t>
  </si>
  <si>
    <t>Lieto gadījumos, kad konstatēta neatbilstība "aizdomas par krāpšanu vai organizēto noziedzību" vai "krāpšana" un ir uzsākts kriminālprocess.</t>
  </si>
  <si>
    <t>Lieto gadījumos, ja konstatēta neatbilstība, kas nav "aizdomas par krāpšanu vai organizēto noziedzību" vai "krāpšana" - gadījumi, kad netiek iesaistītas tiesībsargājošās iestādes.</t>
  </si>
  <si>
    <t>IMS lauka nosaukums</t>
  </si>
  <si>
    <t>• gadījumos, ja neatbilstības veids ir "Aizdomas par krāpšanu vai organizēto noziedzību" vai "Krāpšana";
• konstatēti neattiecināmi izdevumi (piemēram, aktivitātes MKN pārkāpums);
• % finanšu korekcija (FM vadlīniju Nr. 2.7. 5.pielikuma vispārīgie punkti, kā arī tie vadlīniju punkti, kuros nav atsauces uz ES normu, un kas nav PIL un iepirkumu direktīvas pārkāpums).</t>
  </si>
  <si>
    <t>• % finanšu korekcija – konstatēta FM vadlīniju Nr. 2.7. 5.pielikumā minētā neatbilstība (galvenokārt PIL un iepirkumu direktīvas pārkāpums).</t>
  </si>
  <si>
    <t>Ievada neatbilstības numuru atbilstoši KP VIS laukā "Neatbilstības numurs" ievadītajam.</t>
  </si>
  <si>
    <t>Skaidrojums lauka aizpildīšanai attiecībā uz 2014.-2020. gada plānošanas perioda neatbilstību ievadi</t>
  </si>
  <si>
    <t>Ievada projekta nosaukumu atbilstoši KP VIS sadaļas "Pamatdati" laukā "projekta nosaukums" esošajam.</t>
  </si>
  <si>
    <t>Ievada projekta numuru atbilstoši KP VIS sadaļas "Pamatdati" laukā "projekta numurs" esošajam.</t>
  </si>
  <si>
    <t>Ievada neatbilstības kopējo apmēru, atsevišķi norādot ES fondu finansējumu un valsts budžeta finansējumu t.sk. valsts budžeta dotācijas pašvaldībām atbilstoši KP VIS neatbilstību sadaļās apakšsadaļā "neatbilstības summas sadalījums un atgūšana" norādītajam.</t>
  </si>
  <si>
    <t>Ievada neabilstības kopējo apmēru, atsevišķi norādot ES fondu finansējumu un valsts budžeta finansējumu t.sk. valsts budžeta dotācijas pašvaldībām atbilstoši KP VIS neatbilstību sadaļās apakšsadaļā "neatbilstības summas sadalījums un atgūšana" norādītajam.</t>
  </si>
  <si>
    <t>Regulas 2018/1046 33.panta 1.punkts</t>
  </si>
  <si>
    <t xml:space="preserve">Direktīvas 2014/24; direktīvas 2014/25 vai cita ES tiesību akta, kas minēts FM vadlīniju Nr. 2.7. 5.pielikumā, pārkāpums </t>
  </si>
  <si>
    <t>Ievada datumu atbilstoši KP VIS neatbilstību apakšsadaļas "Atgūtās summas" laukā "atgūšanas datums" norādītajam.</t>
  </si>
  <si>
    <t>Ievada datumu atbilstoši KP VIS neatbilstību apakšsadaļas "Atgūtās summas" laukā "plānotais atgūšanas datums" norādītajam. 
Ņemot vērā, ka šis datums dažādu apstākļu dēļ var mainīties, šeit norādāms paredzamais atgūšanas datums, kas ne vienmēr sakritīs ar faktisko atgūšanas datumu. 
Neatbilstību slēdzot, ierakstam šajā laukā jāsakrīt ar faktisko atgūšanas datumu atbilstoši KP VIS apakšsadaļas "atgūtās summas" kolonnā "atgūšanas datums" norādītajai vērtībai. Ja apakšsadaļā "atgūtās summas" ir vairākas, šajā laukā ievadāms pēdējās atgūtās summas atgūšanas datums.</t>
  </si>
  <si>
    <t>Kamēr neatbilstība nav slēgta, šis lauks atstājams tukšs. 
Neatbilstību slēdzot, jāievada faktisko atgūšanas datumu atbilstoši KP VIS apakšsadaļas "atgūtās summas" kolonnā "atgūšanas datums" norādītajai vērtībai. Ja apakšsadaļā "atgūtās summas" ir vairākas, šajā laukā ievadāms pēdējās atgūtās summas atgūšanas datums.</t>
  </si>
  <si>
    <t>Lauku aktivizē gadījumos, ja FS, kura projektā konkrētā neatbilstība, ir vēl citas neatbilstības. Ja FS reģistrācijas numurs (lauks 2.1.2.) ievadīts korekti, laukā 11.3. "Pielikumi" saraksts ar saistītajiem neatbilstību numuriem NAV jāpievieno.</t>
  </si>
  <si>
    <t xml:space="preserve">Ievada projekta kopējo finansējumu, dalījumā pa finanšu avotiem atbilstoši KP VIS sadaļā "Pamatdati" norādītajam.
ES līdzfinansējums + dalībvalsts līdzinansējums (valsts budžeta fin.+ valsts budžeta dotācijas pašvaldībām) = publiskais finansējums.
Kopējai noziņotajai summai jāietver arī privāto/pašvaldības finansējumu (lauks "private share"). Ja nav privātā/pašvaldības finansējuma, tad laukā „Private share” norāda “0”.
Ja lietotājs piekrīt no lauka Nr.4.1.4 “Izdevumu apjoms” pārkopēt summas uz sadaļu Nr.8 “Izdevumi”, sistēma sadaļā Nr.8 automātiski atjaunos datus, t.i. mainīsies summas, kas iepriekš tika ievadītas. </t>
  </si>
  <si>
    <t>Lauku jāaktivizē, ja laukā 1.16. norādīta vērtība "AIRR" un NVI nav iespējams atgūt t.i., kad dalībvalsts ir darījusi visu, lai neatbilstoši veiktos izdevumus atgūtu, bet tas nav iespējams (piemēram, ja uzņēmums, kas saņēmis atbalstu, ir likvidēts). Šādos gadījumos sadaļā Nr.11.3 “Pielikumi” obligāti jāpievieno dokumenti, kas apliecina visas dalībvalsts veiktās darbības saistībā ar līdzekļu atgūšanu.</t>
  </si>
  <si>
    <t>Ievada projekta kopējo finansējumu, dalījumā pa finanšu avotiem atbilstoši KP VIS sadaļā "Pamatdati" norādītajam.
ES līdzfinansējums + dalībvalsts līdzinansējums (valsts budžeta fin.+ valsts budžeta dotācijas pašvaldībām) = publiskais finansējums.
Kopējai noziņotajai summai jāietver arī privāto/pašvaldības finansējumu (lauks "private share"). Ja nav privātā/pašvaldības finansējuma, tad laukā „Private share” norāda “0”.
! Gadījumā, ja sadaļā Nr.8 “Apjoms” automātiski tika pārkopētas summas no sadaļas Nr.4, veicot izmaiņas sadaļā Nr.8, summas netiks automātiski precizētas sadaļā Nr.4.</t>
  </si>
  <si>
    <t>Ievada vērtību "0.00".</t>
  </si>
  <si>
    <t>1.4 Reference number - national</t>
  </si>
  <si>
    <t>Sistēma automātiski ģenerē OLAF neatbilstības numuru.</t>
  </si>
  <si>
    <t>Obligāti aizpildāms lauks, izvēloties vienu no piedāvātajām vērtībām (skatīt zemāk).</t>
  </si>
  <si>
    <t xml:space="preserve">Lieto gadījumos, kad saistībā ar konstatēto neatbilstību uzsākts administratīvais process (piemēram, Konkurences padomes pārkāpumu lieta) vai civilprocess.   </t>
  </si>
  <si>
    <t>Lieto gadījumos, kad NVI nav deklarēti EK t.i., atgūšana tikai nacionāli. Ja tiek izvēlēts šis klasifikatora veids, tad laukos 4.4 un 7.4. jābūt izvēlētam klasisfikatoram " P1".</t>
  </si>
  <si>
    <t>2.1.3 Beneficiary ID number</t>
  </si>
  <si>
    <t>Lauku neaizpilda. Saskaņā ar IMS rokasgrāmatu, lauks tiek aizpildīts tikai Eiropas Lauksaimniecības garantiju fonda un Eiropas Lauksaimniecības fonda lauku attīstībai īstenošanā konstatētajām neatbilstībām.</t>
  </si>
  <si>
    <t xml:space="preserve">Lieto gadījumos, kas tiesībsargājošā ir paziņojusi galējo lēmumu un identificējusi krāpšanu. </t>
  </si>
  <si>
    <t xml:space="preserve">Ievada gadu un ceturksni, kurā sagatavots pieprasījums (nevis konstatēta neatbilstība). Piemēram, ja neatbilstība konstatēta 2020. gada 1. ceturksnī, bet progresa ziņojums tiek sniegts 2020. gada 4. ceturksnī, tad sniedzot progresa informāciju, šajā laukā sākotnēji ievadītā vērtība jāprecizē uz 2020/4. Šāda pieeja nepieciešama, lai EK/OLAF pārstāvji varētu redzēt, cik bieži tiek atjaunota informācija par iepriekš sūtītiem neatbilstību gadījumiem.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fonts count="12" x14ac:knownFonts="1">
    <font>
      <sz val="10"/>
      <name val="Arial"/>
      <family val="2"/>
      <charset val="1"/>
    </font>
    <font>
      <sz val="8"/>
      <name val="Arial"/>
      <family val="2"/>
      <charset val="1"/>
    </font>
    <font>
      <b/>
      <sz val="8"/>
      <name val="Arial"/>
      <family val="2"/>
      <charset val="1"/>
    </font>
    <font>
      <sz val="8"/>
      <name val="Arial"/>
      <family val="2"/>
      <charset val="186"/>
    </font>
    <font>
      <b/>
      <sz val="8"/>
      <name val="Arial"/>
      <family val="2"/>
      <charset val="186"/>
    </font>
    <font>
      <b/>
      <sz val="8"/>
      <color theme="1"/>
      <name val="Arial"/>
      <family val="2"/>
      <charset val="186"/>
    </font>
    <font>
      <sz val="8"/>
      <color theme="1"/>
      <name val="Arial"/>
      <family val="2"/>
      <charset val="186"/>
    </font>
    <font>
      <sz val="8"/>
      <color theme="1"/>
      <name val="Arial"/>
      <family val="2"/>
      <charset val="1"/>
    </font>
    <font>
      <b/>
      <sz val="10"/>
      <color theme="0"/>
      <name val="Arial"/>
      <family val="2"/>
      <charset val="186"/>
    </font>
    <font>
      <b/>
      <sz val="8"/>
      <color theme="0"/>
      <name val="Arial"/>
      <family val="2"/>
      <charset val="186"/>
    </font>
    <font>
      <sz val="8"/>
      <color theme="0"/>
      <name val="Arial"/>
      <family val="2"/>
      <charset val="186"/>
    </font>
    <font>
      <b/>
      <sz val="10"/>
      <color theme="0"/>
      <name val="Arial"/>
      <family val="2"/>
      <charset val="1"/>
    </font>
  </fonts>
  <fills count="5">
    <fill>
      <patternFill patternType="none"/>
    </fill>
    <fill>
      <patternFill patternType="gray125"/>
    </fill>
    <fill>
      <patternFill patternType="solid">
        <fgColor theme="0"/>
        <bgColor indexed="64"/>
      </patternFill>
    </fill>
    <fill>
      <patternFill patternType="solid">
        <fgColor theme="6" tint="-0.499984740745262"/>
        <bgColor indexed="64"/>
      </patternFill>
    </fill>
    <fill>
      <patternFill patternType="solid">
        <fgColor rgb="FFFFFF00"/>
        <bgColor indexed="64"/>
      </patternFill>
    </fill>
  </fills>
  <borders count="5">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right style="thin">
        <color auto="1"/>
      </right>
      <top style="thin">
        <color auto="1"/>
      </top>
      <bottom style="thin">
        <color auto="1"/>
      </bottom>
      <diagonal/>
    </border>
    <border>
      <left style="thin">
        <color auto="1"/>
      </left>
      <right style="thin">
        <color auto="1"/>
      </right>
      <top/>
      <bottom style="thin">
        <color auto="1"/>
      </bottom>
      <diagonal/>
    </border>
  </borders>
  <cellStyleXfs count="1">
    <xf numFmtId="0" fontId="0" fillId="0" borderId="0"/>
  </cellStyleXfs>
  <cellXfs count="74">
    <xf numFmtId="0" fontId="0" fillId="0" borderId="0" xfId="0"/>
    <xf numFmtId="0" fontId="3" fillId="0" borderId="1" xfId="0" applyFont="1" applyBorder="1" applyAlignment="1">
      <alignment horizontal="left" vertical="center" wrapText="1"/>
    </xf>
    <xf numFmtId="0" fontId="3" fillId="0" borderId="1" xfId="0" applyFont="1" applyFill="1" applyBorder="1" applyAlignment="1">
      <alignment horizontal="left" vertical="center" wrapText="1"/>
    </xf>
    <xf numFmtId="0" fontId="3" fillId="0" borderId="1" xfId="0" applyFont="1" applyBorder="1" applyAlignment="1">
      <alignment horizontal="left" vertical="center"/>
    </xf>
    <xf numFmtId="0" fontId="1" fillId="0" borderId="1" xfId="0" applyFont="1" applyBorder="1" applyAlignment="1">
      <alignment vertical="center"/>
    </xf>
    <xf numFmtId="0" fontId="4" fillId="0" borderId="1" xfId="0" applyFont="1" applyBorder="1" applyAlignment="1">
      <alignment horizontal="center" vertical="center" wrapText="1"/>
    </xf>
    <xf numFmtId="0" fontId="1" fillId="0" borderId="1" xfId="0" applyFont="1" applyBorder="1" applyAlignment="1">
      <alignment horizontal="left" vertical="center"/>
    </xf>
    <xf numFmtId="0" fontId="3" fillId="0" borderId="1" xfId="0" applyFont="1" applyFill="1" applyBorder="1" applyAlignment="1">
      <alignment vertical="center"/>
    </xf>
    <xf numFmtId="0" fontId="3" fillId="0" borderId="1" xfId="0" applyFont="1" applyFill="1" applyBorder="1" applyAlignment="1">
      <alignment wrapText="1"/>
    </xf>
    <xf numFmtId="0" fontId="1" fillId="0" borderId="1" xfId="0" applyFont="1" applyBorder="1" applyAlignment="1">
      <alignment vertical="center" wrapText="1"/>
    </xf>
    <xf numFmtId="0" fontId="4" fillId="0" borderId="1" xfId="0" applyFont="1" applyBorder="1" applyAlignment="1">
      <alignment horizontal="left" vertical="center"/>
    </xf>
    <xf numFmtId="0" fontId="4" fillId="0" borderId="1" xfId="0" applyFont="1" applyBorder="1" applyAlignment="1">
      <alignment horizontal="left" vertical="center" wrapText="1"/>
    </xf>
    <xf numFmtId="0" fontId="5" fillId="2" borderId="1" xfId="0" applyFont="1" applyFill="1" applyBorder="1" applyAlignment="1">
      <alignment horizontal="left" vertical="center"/>
    </xf>
    <xf numFmtId="0" fontId="6" fillId="2" borderId="1" xfId="0" applyFont="1" applyFill="1" applyBorder="1" applyAlignment="1">
      <alignment horizontal="left" vertical="center" wrapText="1"/>
    </xf>
    <xf numFmtId="0" fontId="7" fillId="2" borderId="1" xfId="0" applyFont="1" applyFill="1" applyBorder="1" applyAlignment="1">
      <alignment horizontal="left" vertical="center" wrapText="1"/>
    </xf>
    <xf numFmtId="0" fontId="2" fillId="0" borderId="1" xfId="0" applyFont="1" applyBorder="1" applyAlignment="1">
      <alignment horizontal="left" vertical="center" wrapText="1"/>
    </xf>
    <xf numFmtId="0" fontId="6" fillId="2" borderId="1" xfId="0" applyFont="1" applyFill="1" applyBorder="1" applyAlignment="1">
      <alignment vertical="center" wrapText="1"/>
    </xf>
    <xf numFmtId="0" fontId="0" fillId="0" borderId="0" xfId="0" applyAlignment="1">
      <alignment horizontal="left" vertical="center"/>
    </xf>
    <xf numFmtId="0" fontId="10" fillId="3" borderId="1" xfId="0" applyFont="1" applyFill="1" applyBorder="1" applyAlignment="1">
      <alignment horizontal="left" vertical="center" wrapText="1"/>
    </xf>
    <xf numFmtId="0" fontId="6" fillId="3" borderId="1" xfId="0" applyFont="1" applyFill="1" applyBorder="1" applyAlignment="1">
      <alignment wrapText="1"/>
    </xf>
    <xf numFmtId="0" fontId="10" fillId="3" borderId="1" xfId="0" applyFont="1" applyFill="1" applyBorder="1" applyAlignment="1">
      <alignment vertical="center"/>
    </xf>
    <xf numFmtId="0" fontId="9" fillId="3" borderId="1" xfId="0" applyFont="1" applyFill="1" applyBorder="1" applyAlignment="1">
      <alignment vertical="center"/>
    </xf>
    <xf numFmtId="0" fontId="4" fillId="0" borderId="1" xfId="0" applyFont="1" applyFill="1" applyBorder="1" applyAlignment="1">
      <alignment vertical="center" wrapText="1"/>
    </xf>
    <xf numFmtId="0" fontId="3" fillId="0" borderId="1" xfId="0" applyFont="1" applyFill="1" applyBorder="1" applyAlignment="1">
      <alignment vertical="center" wrapText="1"/>
    </xf>
    <xf numFmtId="0" fontId="8" fillId="3" borderId="1" xfId="0" applyFont="1" applyFill="1" applyBorder="1" applyAlignment="1">
      <alignment horizontal="left" vertical="center"/>
    </xf>
    <xf numFmtId="0" fontId="8" fillId="3" borderId="1" xfId="0" applyFont="1" applyFill="1" applyBorder="1" applyAlignment="1">
      <alignment horizontal="left" vertical="center" wrapText="1"/>
    </xf>
    <xf numFmtId="0" fontId="8" fillId="3" borderId="1" xfId="0" applyFont="1" applyFill="1" applyBorder="1" applyAlignment="1">
      <alignment vertical="center"/>
    </xf>
    <xf numFmtId="0" fontId="8" fillId="3" borderId="1" xfId="0" applyFont="1" applyFill="1" applyBorder="1" applyAlignment="1">
      <alignment wrapText="1"/>
    </xf>
    <xf numFmtId="0" fontId="11" fillId="3" borderId="1" xfId="0" applyFont="1" applyFill="1" applyBorder="1"/>
    <xf numFmtId="0" fontId="5" fillId="0" borderId="1" xfId="0" applyFont="1" applyFill="1" applyBorder="1" applyAlignment="1">
      <alignment horizontal="left" vertical="center"/>
    </xf>
    <xf numFmtId="0" fontId="1" fillId="0" borderId="1" xfId="0" applyFont="1" applyFill="1" applyBorder="1" applyAlignment="1">
      <alignment horizontal="left" vertical="center"/>
    </xf>
    <xf numFmtId="0" fontId="4" fillId="0" borderId="1" xfId="0" applyFont="1" applyFill="1" applyBorder="1" applyAlignment="1">
      <alignment vertical="center"/>
    </xf>
    <xf numFmtId="0" fontId="4" fillId="0" borderId="1" xfId="0" applyFont="1" applyFill="1" applyBorder="1"/>
    <xf numFmtId="0" fontId="6" fillId="0" borderId="1" xfId="0" applyFont="1" applyFill="1" applyBorder="1" applyAlignment="1">
      <alignment horizontal="left" vertical="center" wrapText="1"/>
    </xf>
    <xf numFmtId="0" fontId="1" fillId="2" borderId="1" xfId="0" applyFont="1" applyFill="1" applyBorder="1" applyAlignment="1">
      <alignment wrapText="1"/>
    </xf>
    <xf numFmtId="0" fontId="1" fillId="2" borderId="1" xfId="0" applyFont="1" applyFill="1" applyBorder="1" applyAlignment="1">
      <alignment horizontal="left" vertical="center" wrapText="1"/>
    </xf>
    <xf numFmtId="0" fontId="1" fillId="2" borderId="1" xfId="0" applyFont="1" applyFill="1" applyBorder="1" applyAlignment="1">
      <alignment horizontal="left" vertical="center"/>
    </xf>
    <xf numFmtId="0" fontId="4" fillId="2" borderId="2" xfId="0" applyFont="1" applyFill="1" applyBorder="1" applyAlignment="1">
      <alignment vertical="center"/>
    </xf>
    <xf numFmtId="0" fontId="4" fillId="2" borderId="3" xfId="0" applyFont="1" applyFill="1" applyBorder="1" applyAlignment="1">
      <alignment horizontal="center" vertical="center"/>
    </xf>
    <xf numFmtId="0" fontId="0" fillId="4" borderId="0" xfId="0" applyFill="1"/>
    <xf numFmtId="0" fontId="3" fillId="2" borderId="1" xfId="0" applyFont="1" applyFill="1" applyBorder="1" applyAlignment="1">
      <alignment horizontal="left" vertical="center" wrapText="1"/>
    </xf>
    <xf numFmtId="0" fontId="3" fillId="2" borderId="1" xfId="0" applyFont="1" applyFill="1" applyBorder="1" applyAlignment="1">
      <alignment horizontal="left" vertical="center"/>
    </xf>
    <xf numFmtId="0" fontId="6" fillId="2" borderId="1" xfId="0" applyFont="1" applyFill="1" applyBorder="1" applyAlignment="1">
      <alignment horizontal="left" vertical="center"/>
    </xf>
    <xf numFmtId="0" fontId="0" fillId="0" borderId="0" xfId="0" applyFill="1"/>
    <xf numFmtId="0" fontId="3" fillId="0" borderId="1" xfId="0" applyFont="1" applyFill="1" applyBorder="1" applyAlignment="1">
      <alignment horizontal="left" vertical="center"/>
    </xf>
    <xf numFmtId="0" fontId="4" fillId="2" borderId="1" xfId="0" applyFont="1" applyFill="1" applyBorder="1" applyAlignment="1">
      <alignment horizontal="left" vertical="center"/>
    </xf>
    <xf numFmtId="0" fontId="4" fillId="0" borderId="1" xfId="0" applyFont="1" applyFill="1" applyBorder="1" applyAlignment="1">
      <alignment horizontal="left" vertical="center"/>
    </xf>
    <xf numFmtId="0" fontId="4" fillId="0" borderId="1" xfId="0" applyFont="1" applyFill="1" applyBorder="1" applyAlignment="1">
      <alignment horizontal="left" vertical="center" wrapText="1"/>
    </xf>
    <xf numFmtId="0" fontId="1" fillId="0" borderId="1" xfId="0" applyFont="1" applyBorder="1" applyAlignment="1">
      <alignment horizontal="left" vertical="center" wrapText="1"/>
    </xf>
    <xf numFmtId="0" fontId="4" fillId="0" borderId="2" xfId="0" applyFont="1" applyFill="1" applyBorder="1" applyAlignment="1"/>
    <xf numFmtId="0" fontId="4" fillId="0" borderId="3" xfId="0" applyFont="1" applyFill="1" applyBorder="1" applyAlignment="1"/>
    <xf numFmtId="0" fontId="1" fillId="2" borderId="1" xfId="0" applyFont="1" applyFill="1" applyBorder="1" applyAlignment="1">
      <alignment vertical="center" wrapText="1"/>
    </xf>
    <xf numFmtId="0" fontId="6" fillId="0" borderId="1" xfId="0" applyFont="1" applyFill="1" applyBorder="1" applyAlignment="1">
      <alignment horizontal="left" vertical="center"/>
    </xf>
    <xf numFmtId="0" fontId="2" fillId="0" borderId="1" xfId="0" applyFont="1" applyFill="1" applyBorder="1" applyAlignment="1">
      <alignment horizontal="left" vertical="center" wrapText="1"/>
    </xf>
    <xf numFmtId="0" fontId="1" fillId="0" borderId="1" xfId="0" applyFont="1" applyFill="1" applyBorder="1" applyAlignment="1">
      <alignment vertical="center"/>
    </xf>
    <xf numFmtId="0" fontId="4" fillId="0" borderId="1" xfId="0" applyFont="1" applyFill="1" applyBorder="1" applyAlignment="1">
      <alignment horizontal="left" wrapText="1"/>
    </xf>
    <xf numFmtId="0" fontId="1" fillId="0" borderId="1" xfId="0" applyFont="1" applyFill="1" applyBorder="1" applyAlignment="1">
      <alignment horizontal="left" vertical="center" wrapText="1"/>
    </xf>
    <xf numFmtId="0" fontId="2" fillId="0" borderId="2" xfId="0" applyFont="1" applyFill="1" applyBorder="1" applyAlignment="1">
      <alignment vertical="center"/>
    </xf>
    <xf numFmtId="0" fontId="2" fillId="0" borderId="1" xfId="0" applyFont="1" applyFill="1" applyBorder="1" applyAlignment="1">
      <alignment horizontal="left" vertical="center"/>
    </xf>
    <xf numFmtId="0" fontId="3" fillId="0" borderId="4" xfId="0" applyFont="1" applyFill="1" applyBorder="1" applyAlignment="1">
      <alignment horizontal="left" vertical="center" wrapText="1"/>
    </xf>
    <xf numFmtId="0" fontId="3" fillId="2" borderId="4" xfId="0" applyFont="1" applyFill="1" applyBorder="1" applyAlignment="1">
      <alignment horizontal="left" vertical="center" wrapText="1"/>
    </xf>
    <xf numFmtId="0" fontId="8" fillId="3" borderId="1" xfId="0" applyFont="1" applyFill="1" applyBorder="1" applyAlignment="1"/>
    <xf numFmtId="0" fontId="8" fillId="3" borderId="1" xfId="0" applyFont="1" applyFill="1" applyBorder="1" applyAlignment="1">
      <alignment vertical="center" wrapText="1"/>
    </xf>
    <xf numFmtId="0" fontId="4" fillId="0" borderId="1" xfId="0" applyFont="1" applyFill="1" applyBorder="1" applyAlignment="1"/>
    <xf numFmtId="0" fontId="8" fillId="3" borderId="1" xfId="0" applyFont="1" applyFill="1" applyBorder="1" applyAlignment="1">
      <alignment horizontal="center" vertical="center"/>
    </xf>
    <xf numFmtId="0" fontId="6" fillId="2" borderId="1" xfId="0" applyFont="1" applyFill="1" applyBorder="1" applyAlignment="1">
      <alignment horizontal="left" vertical="center"/>
    </xf>
    <xf numFmtId="0" fontId="1" fillId="0" borderId="1" xfId="0" applyFont="1" applyBorder="1" applyAlignment="1">
      <alignment horizontal="left" vertical="center" wrapText="1"/>
    </xf>
    <xf numFmtId="0" fontId="6" fillId="0" borderId="1" xfId="0" applyFont="1" applyFill="1" applyBorder="1" applyAlignment="1">
      <alignment horizontal="left" vertical="center" wrapText="1"/>
    </xf>
    <xf numFmtId="0" fontId="2" fillId="0" borderId="1" xfId="0" applyFont="1" applyBorder="1" applyAlignment="1">
      <alignment horizontal="left" wrapText="1"/>
    </xf>
    <xf numFmtId="0" fontId="6" fillId="2" borderId="1" xfId="0" applyFont="1" applyFill="1" applyBorder="1" applyAlignment="1">
      <alignment vertical="center" wrapText="1"/>
    </xf>
    <xf numFmtId="0" fontId="8" fillId="3" borderId="1" xfId="0" applyFont="1" applyFill="1" applyBorder="1" applyAlignment="1">
      <alignment horizontal="center" vertical="center" wrapText="1"/>
    </xf>
    <xf numFmtId="0" fontId="3" fillId="0" borderId="1" xfId="0" applyFont="1" applyFill="1" applyBorder="1" applyAlignment="1">
      <alignment vertical="center" wrapText="1"/>
    </xf>
    <xf numFmtId="0" fontId="3" fillId="0" borderId="1" xfId="0" applyFont="1" applyFill="1" applyBorder="1" applyAlignment="1">
      <alignment horizontal="left" vertical="center" wrapText="1"/>
    </xf>
    <xf numFmtId="0" fontId="1" fillId="0" borderId="1" xfId="0" applyFont="1" applyBorder="1" applyAlignment="1">
      <alignment horizontal="left" vertical="center" wrapText="1"/>
    </xf>
  </cellXfs>
  <cellStyles count="1">
    <cellStyle name="Normal" xfId="0" builtinId="0"/>
  </cellStyles>
  <dxfs count="0"/>
  <tableStyles count="0" defaultTableStyle="TableStyleMedium2" defaultPivotStyle="PivotStyleLight16"/>
  <colors>
    <indexedColors>
      <rgbColor rgb="FF000000"/>
      <rgbColor rgb="FFFFFFFF"/>
      <rgbColor rgb="FFFF0000"/>
      <rgbColor rgb="FF00FF00"/>
      <rgbColor rgb="FF0000FF"/>
      <rgbColor rgb="FFFFFF00"/>
      <rgbColor rgb="FFFF00FF"/>
      <rgbColor rgb="FF00FFFF"/>
      <rgbColor rgb="FF800000"/>
      <rgbColor rgb="FF008000"/>
      <rgbColor rgb="FF000080"/>
      <rgbColor rgb="FF808000"/>
      <rgbColor rgb="FF800080"/>
      <rgbColor rgb="FF008080"/>
      <rgbColor rgb="FFCCCCCC"/>
      <rgbColor rgb="FF808080"/>
      <rgbColor rgb="FF9999FF"/>
      <rgbColor rgb="FF993366"/>
      <rgbColor rgb="FFFFFFCC"/>
      <rgbColor rgb="FFCCFFFF"/>
      <rgbColor rgb="FF660066"/>
      <rgbColor rgb="FFFF8080"/>
      <rgbColor rgb="FF0066CC"/>
      <rgbColor rgb="FFCCCCFF"/>
      <rgbColor rgb="FF000080"/>
      <rgbColor rgb="FFFF00FF"/>
      <rgbColor rgb="FFFFFF00"/>
      <rgbColor rgb="FF00FFFF"/>
      <rgbColor rgb="FF800080"/>
      <rgbColor rgb="FF800000"/>
      <rgbColor rgb="FF008080"/>
      <rgbColor rgb="FF0000FF"/>
      <rgbColor rgb="FF00CCFF"/>
      <rgbColor rgb="FFCCFFFF"/>
      <rgbColor rgb="FFCCFFCC"/>
      <rgbColor rgb="FFFFFF99"/>
      <rgbColor rgb="FF99CCFF"/>
      <rgbColor rgb="FFFF99CC"/>
      <rgbColor rgb="FFCC99FF"/>
      <rgbColor rgb="FFFFCC99"/>
      <rgbColor rgb="FF3366FF"/>
      <rgbColor rgb="FF33CCCC"/>
      <rgbColor rgb="FF99CC00"/>
      <rgbColor rgb="FFFFCC00"/>
      <rgbColor rgb="FFFF9900"/>
      <rgbColor rgb="FFFF6600"/>
      <rgbColor rgb="FF666699"/>
      <rgbColor rgb="FF969696"/>
      <rgbColor rgb="FF003366"/>
      <rgbColor rgb="FF339966"/>
      <rgbColor rgb="FF003300"/>
      <rgbColor rgb="FF333300"/>
      <rgbColor rgb="FF993300"/>
      <rgbColor rgb="FF993366"/>
      <rgbColor rgb="FF333399"/>
      <rgbColor rgb="FF333333"/>
      <rgbColor rgb="00003366"/>
      <rgbColor rgb="00339966"/>
      <rgbColor rgb="00003300"/>
      <rgbColor rgb="00333300"/>
      <rgbColor rgb="00993300"/>
      <rgbColor rgb="00993366"/>
      <rgbColor rgb="00333399"/>
      <rgbColor rgb="00333333"/>
    </indexed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AF137"/>
  <sheetViews>
    <sheetView tabSelected="1" zoomScaleNormal="100" workbookViewId="0">
      <pane ySplit="1" topLeftCell="A2" activePane="bottomLeft" state="frozen"/>
      <selection pane="bottomLeft" activeCell="B90" sqref="B90"/>
    </sheetView>
  </sheetViews>
  <sheetFormatPr defaultRowHeight="13.2" x14ac:dyDescent="0.25"/>
  <cols>
    <col min="1" max="1" width="32.109375" customWidth="1"/>
    <col min="2" max="2" width="125.21875" customWidth="1"/>
  </cols>
  <sheetData>
    <row r="1" spans="1:2" ht="26.4" customHeight="1" x14ac:dyDescent="0.25">
      <c r="A1" s="64" t="s">
        <v>208</v>
      </c>
      <c r="B1" s="70" t="s">
        <v>212</v>
      </c>
    </row>
    <row r="2" spans="1:2" x14ac:dyDescent="0.25">
      <c r="A2" s="61" t="s">
        <v>119</v>
      </c>
      <c r="B2" s="61"/>
    </row>
    <row r="3" spans="1:2" x14ac:dyDescent="0.25">
      <c r="A3" s="12" t="s">
        <v>0</v>
      </c>
      <c r="B3" s="42" t="s">
        <v>228</v>
      </c>
    </row>
    <row r="4" spans="1:2" ht="40.799999999999997" customHeight="1" x14ac:dyDescent="0.25">
      <c r="A4" s="12" t="s">
        <v>16</v>
      </c>
      <c r="B4" s="13" t="s">
        <v>198</v>
      </c>
    </row>
    <row r="5" spans="1:2" x14ac:dyDescent="0.25">
      <c r="A5" s="68" t="s">
        <v>227</v>
      </c>
      <c r="B5" s="65" t="s">
        <v>211</v>
      </c>
    </row>
    <row r="6" spans="1:2" ht="20.399999999999999" x14ac:dyDescent="0.25">
      <c r="A6" s="12" t="s">
        <v>17</v>
      </c>
      <c r="B6" s="13" t="s">
        <v>153</v>
      </c>
    </row>
    <row r="7" spans="1:2" x14ac:dyDescent="0.25">
      <c r="A7" s="12" t="s">
        <v>18</v>
      </c>
      <c r="B7" s="13" t="s">
        <v>155</v>
      </c>
    </row>
    <row r="8" spans="1:2" x14ac:dyDescent="0.25">
      <c r="A8" s="12" t="s">
        <v>19</v>
      </c>
      <c r="B8" s="13" t="s">
        <v>154</v>
      </c>
    </row>
    <row r="9" spans="1:2" x14ac:dyDescent="0.25">
      <c r="A9" s="12" t="s">
        <v>20</v>
      </c>
      <c r="B9" s="13" t="s">
        <v>226</v>
      </c>
    </row>
    <row r="10" spans="1:2" x14ac:dyDescent="0.25">
      <c r="A10" s="12" t="s">
        <v>21</v>
      </c>
      <c r="B10" s="13" t="s">
        <v>154</v>
      </c>
    </row>
    <row r="11" spans="1:2" ht="40.799999999999997" customHeight="1" x14ac:dyDescent="0.25">
      <c r="A11" s="12" t="s">
        <v>22</v>
      </c>
      <c r="B11" s="13" t="s">
        <v>235</v>
      </c>
    </row>
    <row r="12" spans="1:2" ht="20.399999999999999" customHeight="1" x14ac:dyDescent="0.25">
      <c r="A12" s="12" t="s">
        <v>23</v>
      </c>
      <c r="B12" s="13" t="s">
        <v>120</v>
      </c>
    </row>
    <row r="13" spans="1:2" ht="13.2" customHeight="1" x14ac:dyDescent="0.25">
      <c r="A13" s="12" t="s">
        <v>24</v>
      </c>
      <c r="B13" s="13" t="s">
        <v>156</v>
      </c>
    </row>
    <row r="14" spans="1:2" ht="20.399999999999999" customHeight="1" x14ac:dyDescent="0.25">
      <c r="A14" s="29" t="s">
        <v>25</v>
      </c>
      <c r="B14" s="33" t="s">
        <v>222</v>
      </c>
    </row>
    <row r="15" spans="1:2" x14ac:dyDescent="0.25">
      <c r="A15" s="29" t="s">
        <v>121</v>
      </c>
      <c r="B15" s="33" t="s">
        <v>229</v>
      </c>
    </row>
    <row r="16" spans="1:2" ht="20.399999999999999" customHeight="1" x14ac:dyDescent="0.25">
      <c r="A16" s="52" t="s">
        <v>124</v>
      </c>
      <c r="B16" s="1" t="s">
        <v>205</v>
      </c>
    </row>
    <row r="17" spans="1:2" ht="20.399999999999999" customHeight="1" x14ac:dyDescent="0.25">
      <c r="A17" s="52" t="s">
        <v>123</v>
      </c>
      <c r="B17" s="1" t="s">
        <v>230</v>
      </c>
    </row>
    <row r="18" spans="1:2" ht="20.399999999999999" customHeight="1" x14ac:dyDescent="0.25">
      <c r="A18" s="52" t="s">
        <v>122</v>
      </c>
      <c r="B18" s="1" t="s">
        <v>206</v>
      </c>
    </row>
    <row r="19" spans="1:2" x14ac:dyDescent="0.25">
      <c r="A19" s="31" t="s">
        <v>88</v>
      </c>
      <c r="B19" s="67" t="s">
        <v>229</v>
      </c>
    </row>
    <row r="20" spans="1:2" ht="20.399999999999999" customHeight="1" x14ac:dyDescent="0.25">
      <c r="A20" s="40" t="s">
        <v>71</v>
      </c>
      <c r="B20" s="40" t="s">
        <v>231</v>
      </c>
    </row>
    <row r="21" spans="1:2" ht="20.399999999999999" customHeight="1" x14ac:dyDescent="0.25">
      <c r="A21" s="40" t="s">
        <v>72</v>
      </c>
      <c r="B21" s="40" t="s">
        <v>166</v>
      </c>
    </row>
    <row r="22" spans="1:2" ht="30.6" customHeight="1" x14ac:dyDescent="0.25">
      <c r="A22" s="40" t="s">
        <v>73</v>
      </c>
      <c r="B22" s="40" t="s">
        <v>74</v>
      </c>
    </row>
    <row r="23" spans="1:2" x14ac:dyDescent="0.25">
      <c r="A23" s="1" t="s">
        <v>75</v>
      </c>
      <c r="B23" s="3" t="s">
        <v>76</v>
      </c>
    </row>
    <row r="24" spans="1:2" x14ac:dyDescent="0.25">
      <c r="A24" s="1" t="s">
        <v>77</v>
      </c>
      <c r="B24" s="3" t="s">
        <v>78</v>
      </c>
    </row>
    <row r="25" spans="1:2" ht="22.2" customHeight="1" x14ac:dyDescent="0.25">
      <c r="A25" s="40" t="s">
        <v>79</v>
      </c>
      <c r="B25" s="41" t="s">
        <v>80</v>
      </c>
    </row>
    <row r="26" spans="1:2" x14ac:dyDescent="0.25">
      <c r="A26" s="1" t="s">
        <v>81</v>
      </c>
      <c r="B26" s="3" t="s">
        <v>164</v>
      </c>
    </row>
    <row r="27" spans="1:2" ht="20.399999999999999" x14ac:dyDescent="0.25">
      <c r="A27" s="2" t="s">
        <v>82</v>
      </c>
      <c r="B27" s="40" t="s">
        <v>167</v>
      </c>
    </row>
    <row r="28" spans="1:2" ht="40.799999999999997" customHeight="1" x14ac:dyDescent="0.25">
      <c r="A28" s="1" t="s">
        <v>83</v>
      </c>
      <c r="B28" s="40" t="s">
        <v>163</v>
      </c>
    </row>
    <row r="29" spans="1:2" ht="20.399999999999999" customHeight="1" x14ac:dyDescent="0.25">
      <c r="A29" s="1" t="s">
        <v>157</v>
      </c>
      <c r="B29" s="40" t="s">
        <v>160</v>
      </c>
    </row>
    <row r="30" spans="1:2" ht="20.399999999999999" customHeight="1" x14ac:dyDescent="0.25">
      <c r="A30" s="1" t="s">
        <v>158</v>
      </c>
      <c r="B30" s="40" t="s">
        <v>161</v>
      </c>
    </row>
    <row r="31" spans="1:2" ht="20.399999999999999" customHeight="1" x14ac:dyDescent="0.25">
      <c r="A31" s="1" t="s">
        <v>159</v>
      </c>
      <c r="B31" s="40" t="s">
        <v>162</v>
      </c>
    </row>
    <row r="32" spans="1:2" ht="13.2" customHeight="1" x14ac:dyDescent="0.25">
      <c r="A32" s="11" t="s">
        <v>26</v>
      </c>
      <c r="B32" s="1" t="s">
        <v>195</v>
      </c>
    </row>
    <row r="33" spans="1:2" ht="40.799999999999997" customHeight="1" x14ac:dyDescent="0.25">
      <c r="A33" s="11" t="s">
        <v>27</v>
      </c>
      <c r="B33" s="1" t="s">
        <v>224</v>
      </c>
    </row>
    <row r="34" spans="1:2" x14ac:dyDescent="0.25">
      <c r="A34" s="62" t="s">
        <v>125</v>
      </c>
      <c r="B34" s="62"/>
    </row>
    <row r="35" spans="1:2" x14ac:dyDescent="0.25">
      <c r="A35" s="10" t="s">
        <v>28</v>
      </c>
      <c r="B35" s="48" t="s">
        <v>168</v>
      </c>
    </row>
    <row r="36" spans="1:2" ht="20.399999999999999" customHeight="1" x14ac:dyDescent="0.25">
      <c r="A36" s="10" t="s">
        <v>232</v>
      </c>
      <c r="B36" s="66" t="s">
        <v>233</v>
      </c>
    </row>
    <row r="37" spans="1:2" x14ac:dyDescent="0.25">
      <c r="A37" s="10" t="s">
        <v>29</v>
      </c>
      <c r="B37" s="48" t="s">
        <v>169</v>
      </c>
    </row>
    <row r="38" spans="1:2" x14ac:dyDescent="0.25">
      <c r="A38" s="10" t="s">
        <v>30</v>
      </c>
      <c r="B38" s="48" t="s">
        <v>170</v>
      </c>
    </row>
    <row r="39" spans="1:2" ht="13.2" customHeight="1" x14ac:dyDescent="0.25">
      <c r="A39" s="10" t="s">
        <v>31</v>
      </c>
      <c r="B39" s="48" t="s">
        <v>171</v>
      </c>
    </row>
    <row r="40" spans="1:2" ht="13.2" customHeight="1" x14ac:dyDescent="0.25">
      <c r="A40" s="10" t="s">
        <v>32</v>
      </c>
      <c r="B40" s="48" t="s">
        <v>172</v>
      </c>
    </row>
    <row r="41" spans="1:2" x14ac:dyDescent="0.25">
      <c r="A41" s="10" t="s">
        <v>33</v>
      </c>
      <c r="B41" s="14" t="s">
        <v>155</v>
      </c>
    </row>
    <row r="42" spans="1:2" ht="13.2" customHeight="1" x14ac:dyDescent="0.25">
      <c r="A42" s="10" t="s">
        <v>34</v>
      </c>
      <c r="B42" s="14" t="s">
        <v>174</v>
      </c>
    </row>
    <row r="43" spans="1:2" ht="13.2" customHeight="1" x14ac:dyDescent="0.25">
      <c r="A43" s="10" t="s">
        <v>35</v>
      </c>
      <c r="B43" s="14" t="s">
        <v>174</v>
      </c>
    </row>
    <row r="44" spans="1:2" ht="13.2" customHeight="1" x14ac:dyDescent="0.25">
      <c r="A44" s="10" t="s">
        <v>36</v>
      </c>
      <c r="B44" s="14" t="s">
        <v>174</v>
      </c>
    </row>
    <row r="45" spans="1:2" x14ac:dyDescent="0.25">
      <c r="A45" s="10" t="s">
        <v>37</v>
      </c>
      <c r="B45" s="14" t="s">
        <v>173</v>
      </c>
    </row>
    <row r="46" spans="1:2" x14ac:dyDescent="0.25">
      <c r="A46" s="24" t="s">
        <v>128</v>
      </c>
      <c r="B46" s="18"/>
    </row>
    <row r="47" spans="1:2" ht="13.2" customHeight="1" x14ac:dyDescent="0.25">
      <c r="A47" s="10" t="s">
        <v>126</v>
      </c>
      <c r="B47" s="16" t="s">
        <v>175</v>
      </c>
    </row>
    <row r="48" spans="1:2" x14ac:dyDescent="0.25">
      <c r="A48" s="53" t="s">
        <v>38</v>
      </c>
      <c r="B48" s="14" t="s">
        <v>155</v>
      </c>
    </row>
    <row r="49" spans="1:2" ht="13.2" customHeight="1" x14ac:dyDescent="0.25">
      <c r="A49" s="53" t="s">
        <v>39</v>
      </c>
      <c r="B49" s="13" t="s">
        <v>176</v>
      </c>
    </row>
    <row r="50" spans="1:2" ht="13.2" customHeight="1" x14ac:dyDescent="0.25">
      <c r="A50" s="53" t="s">
        <v>40</v>
      </c>
      <c r="B50" s="13" t="s">
        <v>176</v>
      </c>
    </row>
    <row r="51" spans="1:2" ht="13.2" customHeight="1" x14ac:dyDescent="0.25">
      <c r="A51" s="53" t="s">
        <v>41</v>
      </c>
      <c r="B51" s="13" t="s">
        <v>176</v>
      </c>
    </row>
    <row r="52" spans="1:2" x14ac:dyDescent="0.25">
      <c r="A52" s="53" t="s">
        <v>42</v>
      </c>
      <c r="B52" s="69" t="s">
        <v>177</v>
      </c>
    </row>
    <row r="53" spans="1:2" x14ac:dyDescent="0.25">
      <c r="A53" s="24" t="s">
        <v>129</v>
      </c>
      <c r="B53" s="19"/>
    </row>
    <row r="54" spans="1:2" s="17" customFormat="1" ht="13.2" customHeight="1" x14ac:dyDescent="0.25">
      <c r="A54" s="15" t="s">
        <v>43</v>
      </c>
      <c r="B54" s="13" t="s">
        <v>213</v>
      </c>
    </row>
    <row r="55" spans="1:2" s="17" customFormat="1" ht="13.2" customHeight="1" x14ac:dyDescent="0.25">
      <c r="A55" s="15" t="s">
        <v>44</v>
      </c>
      <c r="B55" s="13" t="s">
        <v>214</v>
      </c>
    </row>
    <row r="56" spans="1:2" s="17" customFormat="1" ht="13.2" customHeight="1" x14ac:dyDescent="0.25">
      <c r="A56" s="15" t="s">
        <v>45</v>
      </c>
      <c r="B56" s="13" t="s">
        <v>178</v>
      </c>
    </row>
    <row r="57" spans="1:2" s="17" customFormat="1" ht="58.2" customHeight="1" x14ac:dyDescent="0.25">
      <c r="A57" s="15" t="s">
        <v>1</v>
      </c>
      <c r="B57" s="13" t="s">
        <v>223</v>
      </c>
    </row>
    <row r="58" spans="1:2" s="17" customFormat="1" ht="30.6" customHeight="1" x14ac:dyDescent="0.25">
      <c r="A58" s="15" t="s">
        <v>2</v>
      </c>
      <c r="B58" s="13" t="s">
        <v>215</v>
      </c>
    </row>
    <row r="59" spans="1:2" s="17" customFormat="1" ht="30.6" customHeight="1" x14ac:dyDescent="0.25">
      <c r="A59" s="15" t="s">
        <v>3</v>
      </c>
      <c r="B59" s="13" t="s">
        <v>197</v>
      </c>
    </row>
    <row r="60" spans="1:2" s="17" customFormat="1" ht="30.6" customHeight="1" x14ac:dyDescent="0.25">
      <c r="A60" s="15" t="s">
        <v>4</v>
      </c>
      <c r="B60" s="13" t="s">
        <v>216</v>
      </c>
    </row>
    <row r="61" spans="1:2" ht="22.2" customHeight="1" x14ac:dyDescent="0.25">
      <c r="A61" s="22" t="s">
        <v>141</v>
      </c>
      <c r="B61" s="3"/>
    </row>
    <row r="62" spans="1:2" ht="20.399999999999999" customHeight="1" x14ac:dyDescent="0.25">
      <c r="A62" s="2" t="s">
        <v>84</v>
      </c>
      <c r="B62" s="40" t="s">
        <v>165</v>
      </c>
    </row>
    <row r="63" spans="1:2" ht="20.399999999999999" customHeight="1" x14ac:dyDescent="0.25">
      <c r="A63" s="2" t="s">
        <v>85</v>
      </c>
      <c r="B63" s="40" t="s">
        <v>196</v>
      </c>
    </row>
    <row r="64" spans="1:2" ht="13.2" customHeight="1" x14ac:dyDescent="0.25">
      <c r="A64" s="2" t="s">
        <v>134</v>
      </c>
      <c r="B64" s="40" t="s">
        <v>150</v>
      </c>
    </row>
    <row r="65" spans="1:2" ht="26.4" x14ac:dyDescent="0.25">
      <c r="A65" s="25" t="s">
        <v>130</v>
      </c>
      <c r="B65" s="20"/>
    </row>
    <row r="66" spans="1:2" ht="18.600000000000001" customHeight="1" x14ac:dyDescent="0.25">
      <c r="A66" s="72" t="s">
        <v>199</v>
      </c>
      <c r="B66" s="72"/>
    </row>
    <row r="67" spans="1:2" x14ac:dyDescent="0.25">
      <c r="A67" s="25" t="s">
        <v>131</v>
      </c>
      <c r="B67" s="21"/>
    </row>
    <row r="68" spans="1:2" ht="20.399999999999999" customHeight="1" x14ac:dyDescent="0.25">
      <c r="A68" s="22" t="s">
        <v>86</v>
      </c>
      <c r="B68" s="23" t="s">
        <v>179</v>
      </c>
    </row>
    <row r="69" spans="1:2" ht="20.399999999999999" customHeight="1" x14ac:dyDescent="0.25">
      <c r="A69" s="22" t="s">
        <v>46</v>
      </c>
      <c r="B69" s="23" t="s">
        <v>132</v>
      </c>
    </row>
    <row r="70" spans="1:2" x14ac:dyDescent="0.25">
      <c r="A70" s="32" t="s">
        <v>140</v>
      </c>
      <c r="B70" s="47"/>
    </row>
    <row r="71" spans="1:2" ht="27.6" customHeight="1" x14ac:dyDescent="0.25">
      <c r="A71" s="73" t="s">
        <v>200</v>
      </c>
      <c r="B71" s="73"/>
    </row>
    <row r="72" spans="1:2" x14ac:dyDescent="0.25">
      <c r="A72" s="5" t="s">
        <v>87</v>
      </c>
      <c r="B72" s="5" t="s">
        <v>180</v>
      </c>
    </row>
    <row r="73" spans="1:2" ht="40.799999999999997" x14ac:dyDescent="0.25">
      <c r="A73" s="48" t="s">
        <v>217</v>
      </c>
      <c r="B73" s="48" t="s">
        <v>209</v>
      </c>
    </row>
    <row r="74" spans="1:2" ht="30.6" x14ac:dyDescent="0.25">
      <c r="A74" s="48" t="s">
        <v>218</v>
      </c>
      <c r="B74" s="48" t="s">
        <v>210</v>
      </c>
    </row>
    <row r="75" spans="1:2" x14ac:dyDescent="0.25">
      <c r="A75" s="11" t="s">
        <v>47</v>
      </c>
      <c r="B75" s="48" t="s">
        <v>201</v>
      </c>
    </row>
    <row r="76" spans="1:2" x14ac:dyDescent="0.25">
      <c r="A76" s="63" t="s">
        <v>139</v>
      </c>
      <c r="B76" s="3"/>
    </row>
    <row r="77" spans="1:2" ht="49.2" customHeight="1" x14ac:dyDescent="0.25">
      <c r="A77" s="4" t="s">
        <v>48</v>
      </c>
      <c r="B77" s="9" t="s">
        <v>181</v>
      </c>
    </row>
    <row r="78" spans="1:2" ht="37.200000000000003" customHeight="1" x14ac:dyDescent="0.25">
      <c r="A78" s="54" t="s">
        <v>49</v>
      </c>
      <c r="B78" s="40" t="s">
        <v>194</v>
      </c>
    </row>
    <row r="79" spans="1:2" ht="35.4" customHeight="1" x14ac:dyDescent="0.25">
      <c r="A79" s="10" t="s">
        <v>5</v>
      </c>
      <c r="B79" s="48" t="s">
        <v>202</v>
      </c>
    </row>
    <row r="80" spans="1:2" ht="13.2" customHeight="1" x14ac:dyDescent="0.25">
      <c r="A80" s="10" t="s">
        <v>50</v>
      </c>
      <c r="B80" s="48" t="s">
        <v>133</v>
      </c>
    </row>
    <row r="81" spans="1:2" x14ac:dyDescent="0.25">
      <c r="A81" s="31" t="s">
        <v>138</v>
      </c>
      <c r="B81" s="67" t="s">
        <v>229</v>
      </c>
    </row>
    <row r="82" spans="1:2" ht="31.2" customHeight="1" x14ac:dyDescent="0.25">
      <c r="A82" s="7" t="s">
        <v>203</v>
      </c>
      <c r="B82" s="71" t="s">
        <v>204</v>
      </c>
    </row>
    <row r="83" spans="1:2" ht="13.2" customHeight="1" x14ac:dyDescent="0.25">
      <c r="A83" s="7" t="s">
        <v>68</v>
      </c>
      <c r="B83" s="8" t="s">
        <v>89</v>
      </c>
    </row>
    <row r="84" spans="1:2" ht="13.2" customHeight="1" x14ac:dyDescent="0.25">
      <c r="A84" s="7" t="s">
        <v>69</v>
      </c>
      <c r="B84" s="8" t="s">
        <v>182</v>
      </c>
    </row>
    <row r="85" spans="1:2" ht="13.2" customHeight="1" x14ac:dyDescent="0.25">
      <c r="A85" s="7" t="s">
        <v>70</v>
      </c>
      <c r="B85" s="8" t="s">
        <v>234</v>
      </c>
    </row>
    <row r="86" spans="1:2" x14ac:dyDescent="0.25">
      <c r="A86" s="26" t="s">
        <v>110</v>
      </c>
      <c r="B86" s="25"/>
    </row>
    <row r="87" spans="1:2" ht="25.8" customHeight="1" x14ac:dyDescent="0.25">
      <c r="A87" s="10" t="s">
        <v>51</v>
      </c>
      <c r="B87" s="48" t="s">
        <v>101</v>
      </c>
    </row>
    <row r="88" spans="1:2" x14ac:dyDescent="0.25">
      <c r="A88" s="10" t="s">
        <v>52</v>
      </c>
      <c r="B88" s="48" t="s">
        <v>183</v>
      </c>
    </row>
    <row r="89" spans="1:2" x14ac:dyDescent="0.25">
      <c r="A89" s="10" t="s">
        <v>53</v>
      </c>
      <c r="B89" s="48" t="s">
        <v>183</v>
      </c>
    </row>
    <row r="90" spans="1:2" x14ac:dyDescent="0.25">
      <c r="A90" s="10" t="s">
        <v>135</v>
      </c>
      <c r="B90" s="48"/>
    </row>
    <row r="91" spans="1:2" x14ac:dyDescent="0.25">
      <c r="A91" s="59" t="s">
        <v>84</v>
      </c>
      <c r="B91" s="60" t="s">
        <v>184</v>
      </c>
    </row>
    <row r="92" spans="1:2" ht="20.399999999999999" customHeight="1" x14ac:dyDescent="0.25">
      <c r="A92" s="2" t="s">
        <v>85</v>
      </c>
      <c r="B92" s="40" t="s">
        <v>196</v>
      </c>
    </row>
    <row r="93" spans="1:2" ht="16.2" customHeight="1" x14ac:dyDescent="0.25">
      <c r="A93" s="2" t="s">
        <v>134</v>
      </c>
      <c r="B93" s="40" t="s">
        <v>150</v>
      </c>
    </row>
    <row r="94" spans="1:2" x14ac:dyDescent="0.25">
      <c r="A94" s="47" t="s">
        <v>6</v>
      </c>
      <c r="B94" s="4" t="s">
        <v>185</v>
      </c>
    </row>
    <row r="95" spans="1:2" x14ac:dyDescent="0.25">
      <c r="A95" s="24" t="s">
        <v>111</v>
      </c>
      <c r="B95" s="27"/>
    </row>
    <row r="96" spans="1:2" ht="56.4" customHeight="1" x14ac:dyDescent="0.25">
      <c r="A96" s="29" t="s">
        <v>7</v>
      </c>
      <c r="B96" s="13" t="s">
        <v>225</v>
      </c>
    </row>
    <row r="97" spans="1:32" ht="36" customHeight="1" x14ac:dyDescent="0.25">
      <c r="A97" s="10" t="s">
        <v>8</v>
      </c>
      <c r="B97" s="13" t="s">
        <v>127</v>
      </c>
    </row>
    <row r="98" spans="1:32" ht="20.399999999999999" x14ac:dyDescent="0.25">
      <c r="A98" s="6" t="s">
        <v>9</v>
      </c>
      <c r="B98" s="9" t="s">
        <v>99</v>
      </c>
    </row>
    <row r="99" spans="1:32" ht="20.399999999999999" x14ac:dyDescent="0.25">
      <c r="A99" s="6" t="s">
        <v>10</v>
      </c>
      <c r="B99" s="9" t="s">
        <v>100</v>
      </c>
    </row>
    <row r="100" spans="1:32" ht="13.2" customHeight="1" x14ac:dyDescent="0.25">
      <c r="A100" s="45" t="s">
        <v>11</v>
      </c>
      <c r="B100" s="51" t="s">
        <v>151</v>
      </c>
    </row>
    <row r="101" spans="1:32" x14ac:dyDescent="0.25">
      <c r="A101" s="24" t="s">
        <v>112</v>
      </c>
      <c r="B101" s="27"/>
    </row>
    <row r="102" spans="1:32" ht="13.2" customHeight="1" x14ac:dyDescent="0.25">
      <c r="A102" s="46" t="s">
        <v>54</v>
      </c>
      <c r="B102" s="40" t="s">
        <v>219</v>
      </c>
      <c r="C102" s="43"/>
      <c r="D102" s="43"/>
      <c r="E102" s="43"/>
      <c r="F102" s="43"/>
      <c r="G102" s="43"/>
      <c r="H102" s="43"/>
      <c r="I102" s="43"/>
      <c r="J102" s="43"/>
      <c r="K102" s="43"/>
      <c r="L102" s="43"/>
      <c r="M102" s="43"/>
      <c r="N102" s="43"/>
      <c r="O102" s="43"/>
      <c r="P102" s="43"/>
      <c r="Q102" s="43"/>
      <c r="R102" s="43"/>
      <c r="S102" s="43"/>
      <c r="T102" s="43"/>
      <c r="U102" s="43"/>
      <c r="V102" s="43"/>
      <c r="W102" s="43"/>
      <c r="X102" s="43"/>
      <c r="Y102" s="43"/>
      <c r="Z102" s="43"/>
      <c r="AA102" s="43"/>
      <c r="AB102" s="43"/>
      <c r="AC102" s="43"/>
      <c r="AD102" s="43"/>
      <c r="AE102" s="43"/>
      <c r="AF102" s="43"/>
    </row>
    <row r="103" spans="1:32" ht="51.6" customHeight="1" x14ac:dyDescent="0.25">
      <c r="A103" s="46" t="s">
        <v>55</v>
      </c>
      <c r="B103" s="40" t="s">
        <v>220</v>
      </c>
      <c r="C103" s="43"/>
      <c r="D103" s="43"/>
      <c r="E103" s="43"/>
      <c r="F103" s="43"/>
      <c r="G103" s="43"/>
      <c r="H103" s="43"/>
      <c r="I103" s="43"/>
      <c r="J103" s="43"/>
      <c r="K103" s="43"/>
      <c r="L103" s="43"/>
      <c r="M103" s="43"/>
      <c r="N103" s="43"/>
      <c r="O103" s="43"/>
      <c r="P103" s="43"/>
      <c r="Q103" s="43"/>
      <c r="R103" s="43"/>
      <c r="S103" s="43"/>
      <c r="T103" s="43"/>
      <c r="U103" s="43"/>
      <c r="V103" s="43"/>
      <c r="W103" s="43"/>
      <c r="X103" s="43"/>
      <c r="Y103" s="43"/>
      <c r="Z103" s="43"/>
      <c r="AA103" s="43"/>
      <c r="AB103" s="43"/>
      <c r="AC103" s="43"/>
      <c r="AD103" s="43"/>
      <c r="AE103" s="43"/>
      <c r="AF103" s="43"/>
    </row>
    <row r="104" spans="1:32" ht="13.2" customHeight="1" x14ac:dyDescent="0.25">
      <c r="A104" s="46" t="s">
        <v>12</v>
      </c>
      <c r="B104" s="34" t="s">
        <v>186</v>
      </c>
      <c r="C104" s="43"/>
      <c r="D104" s="43"/>
      <c r="E104" s="43"/>
      <c r="F104" s="43"/>
      <c r="G104" s="43"/>
      <c r="H104" s="43"/>
      <c r="I104" s="43"/>
      <c r="J104" s="43"/>
      <c r="K104" s="43"/>
      <c r="L104" s="43"/>
      <c r="M104" s="43"/>
      <c r="N104" s="43"/>
      <c r="O104" s="43"/>
      <c r="P104" s="43"/>
      <c r="Q104" s="43"/>
      <c r="R104" s="43"/>
      <c r="S104" s="43"/>
      <c r="T104" s="43"/>
      <c r="U104" s="43"/>
      <c r="V104" s="43"/>
      <c r="W104" s="43"/>
      <c r="X104" s="43"/>
      <c r="Y104" s="43"/>
      <c r="Z104" s="43"/>
      <c r="AA104" s="43"/>
      <c r="AB104" s="43"/>
      <c r="AC104" s="43"/>
      <c r="AD104" s="43"/>
      <c r="AE104" s="43"/>
      <c r="AF104" s="43"/>
    </row>
    <row r="105" spans="1:32" ht="61.2" customHeight="1" x14ac:dyDescent="0.25">
      <c r="A105" s="46" t="s">
        <v>13</v>
      </c>
      <c r="B105" s="2" t="s">
        <v>188</v>
      </c>
      <c r="C105" s="43"/>
      <c r="D105" s="43"/>
      <c r="E105" s="43"/>
      <c r="F105" s="43"/>
      <c r="G105" s="43"/>
      <c r="H105" s="43"/>
      <c r="I105" s="43"/>
      <c r="J105" s="43"/>
      <c r="K105" s="43"/>
      <c r="L105" s="43"/>
      <c r="M105" s="43"/>
      <c r="N105" s="43"/>
      <c r="O105" s="43"/>
      <c r="P105" s="43"/>
      <c r="Q105" s="43"/>
      <c r="R105" s="43"/>
      <c r="S105" s="43"/>
      <c r="T105" s="43"/>
      <c r="U105" s="43"/>
      <c r="V105" s="43"/>
      <c r="W105" s="43"/>
      <c r="X105" s="43"/>
      <c r="Y105" s="43"/>
      <c r="Z105" s="43"/>
      <c r="AA105" s="43"/>
      <c r="AB105" s="43"/>
      <c r="AC105" s="43"/>
      <c r="AD105" s="43"/>
      <c r="AE105" s="43"/>
      <c r="AF105" s="43"/>
    </row>
    <row r="106" spans="1:32" ht="20.399999999999999" customHeight="1" x14ac:dyDescent="0.25">
      <c r="A106" s="46" t="s">
        <v>14</v>
      </c>
      <c r="B106" s="40" t="s">
        <v>187</v>
      </c>
      <c r="C106" s="43"/>
      <c r="D106" s="43"/>
      <c r="E106" s="43"/>
      <c r="F106" s="43"/>
      <c r="G106" s="43"/>
      <c r="H106" s="43"/>
      <c r="I106" s="43"/>
      <c r="J106" s="43"/>
      <c r="K106" s="43"/>
      <c r="L106" s="43"/>
      <c r="M106" s="43"/>
      <c r="N106" s="43"/>
      <c r="O106" s="43"/>
      <c r="P106" s="43"/>
      <c r="Q106" s="43"/>
      <c r="R106" s="43"/>
      <c r="S106" s="43"/>
      <c r="T106" s="43"/>
      <c r="U106" s="43"/>
      <c r="V106" s="43"/>
      <c r="W106" s="43"/>
      <c r="X106" s="43"/>
      <c r="Y106" s="43"/>
      <c r="Z106" s="43"/>
      <c r="AA106" s="43"/>
      <c r="AB106" s="43"/>
      <c r="AC106" s="43"/>
      <c r="AD106" s="43"/>
      <c r="AE106" s="43"/>
      <c r="AF106" s="43"/>
    </row>
    <row r="107" spans="1:32" ht="24.6" customHeight="1" x14ac:dyDescent="0.25">
      <c r="A107" s="46" t="s">
        <v>15</v>
      </c>
      <c r="B107" s="35" t="s">
        <v>189</v>
      </c>
      <c r="C107" s="43"/>
      <c r="D107" s="43"/>
      <c r="E107" s="43"/>
      <c r="F107" s="43"/>
      <c r="G107" s="43"/>
      <c r="H107" s="43"/>
      <c r="I107" s="43"/>
      <c r="J107" s="43"/>
      <c r="K107" s="43"/>
      <c r="L107" s="43"/>
      <c r="M107" s="43"/>
      <c r="N107" s="43"/>
      <c r="O107" s="43"/>
      <c r="P107" s="43"/>
      <c r="Q107" s="43"/>
      <c r="R107" s="43"/>
      <c r="S107" s="43"/>
      <c r="T107" s="43"/>
      <c r="U107" s="43"/>
      <c r="V107" s="43"/>
      <c r="W107" s="43"/>
      <c r="X107" s="43"/>
      <c r="Y107" s="43"/>
      <c r="Z107" s="43"/>
      <c r="AA107" s="43"/>
      <c r="AB107" s="43"/>
      <c r="AC107" s="43"/>
      <c r="AD107" s="43"/>
      <c r="AE107" s="43"/>
      <c r="AF107" s="43"/>
    </row>
    <row r="108" spans="1:32" x14ac:dyDescent="0.25">
      <c r="A108" s="46" t="s">
        <v>56</v>
      </c>
      <c r="B108" s="41" t="s">
        <v>152</v>
      </c>
      <c r="C108" s="43"/>
      <c r="D108" s="43"/>
      <c r="E108" s="43"/>
      <c r="F108" s="43"/>
      <c r="G108" s="43"/>
      <c r="H108" s="43"/>
      <c r="I108" s="43"/>
      <c r="J108" s="43"/>
      <c r="K108" s="43"/>
      <c r="L108" s="43"/>
      <c r="M108" s="43"/>
      <c r="N108" s="43"/>
      <c r="O108" s="43"/>
      <c r="P108" s="43"/>
      <c r="Q108" s="43"/>
      <c r="R108" s="43"/>
      <c r="S108" s="43"/>
      <c r="T108" s="43"/>
      <c r="U108" s="43"/>
      <c r="V108" s="43"/>
      <c r="W108" s="43"/>
      <c r="X108" s="43"/>
      <c r="Y108" s="43"/>
      <c r="Z108" s="43"/>
      <c r="AA108" s="43"/>
      <c r="AB108" s="43"/>
      <c r="AC108" s="43"/>
      <c r="AD108" s="43"/>
      <c r="AE108" s="43"/>
      <c r="AF108" s="43"/>
    </row>
    <row r="109" spans="1:32" x14ac:dyDescent="0.25">
      <c r="A109" s="46" t="s">
        <v>57</v>
      </c>
      <c r="B109" s="41" t="s">
        <v>152</v>
      </c>
      <c r="C109" s="43"/>
      <c r="D109" s="43"/>
      <c r="E109" s="43"/>
      <c r="F109" s="43"/>
      <c r="G109" s="43"/>
      <c r="H109" s="43"/>
      <c r="I109" s="43"/>
      <c r="J109" s="43"/>
      <c r="K109" s="43"/>
      <c r="L109" s="43"/>
      <c r="M109" s="43"/>
      <c r="N109" s="43"/>
      <c r="O109" s="43"/>
      <c r="P109" s="43"/>
      <c r="Q109" s="43"/>
      <c r="R109" s="43"/>
      <c r="S109" s="43"/>
      <c r="T109" s="43"/>
      <c r="U109" s="43"/>
      <c r="V109" s="43"/>
      <c r="W109" s="43"/>
      <c r="X109" s="43"/>
      <c r="Y109" s="43"/>
      <c r="Z109" s="43"/>
      <c r="AA109" s="43"/>
      <c r="AB109" s="43"/>
      <c r="AC109" s="43"/>
      <c r="AD109" s="43"/>
      <c r="AE109" s="43"/>
      <c r="AF109" s="43"/>
    </row>
    <row r="110" spans="1:32" x14ac:dyDescent="0.25">
      <c r="A110" s="46" t="s">
        <v>58</v>
      </c>
      <c r="B110" s="41" t="s">
        <v>152</v>
      </c>
      <c r="C110" s="43"/>
      <c r="D110" s="43"/>
      <c r="E110" s="43"/>
      <c r="F110" s="43"/>
      <c r="G110" s="43"/>
      <c r="H110" s="43"/>
      <c r="I110" s="43"/>
      <c r="J110" s="43"/>
      <c r="K110" s="43"/>
      <c r="L110" s="43"/>
      <c r="M110" s="43"/>
      <c r="N110" s="43"/>
      <c r="O110" s="43"/>
      <c r="P110" s="43"/>
      <c r="Q110" s="43"/>
      <c r="R110" s="43"/>
      <c r="S110" s="43"/>
      <c r="T110" s="43"/>
      <c r="U110" s="43"/>
      <c r="V110" s="43"/>
      <c r="W110" s="43"/>
      <c r="X110" s="43"/>
      <c r="Y110" s="43"/>
      <c r="Z110" s="43"/>
      <c r="AA110" s="43"/>
      <c r="AB110" s="43"/>
      <c r="AC110" s="43"/>
      <c r="AD110" s="43"/>
      <c r="AE110" s="43"/>
      <c r="AF110" s="43"/>
    </row>
    <row r="111" spans="1:32" ht="13.2" customHeight="1" x14ac:dyDescent="0.25">
      <c r="A111" s="46" t="s">
        <v>59</v>
      </c>
      <c r="B111" s="6" t="s">
        <v>136</v>
      </c>
      <c r="C111" s="43"/>
      <c r="D111" s="43"/>
      <c r="E111" s="43"/>
      <c r="F111" s="43"/>
      <c r="G111" s="43"/>
      <c r="H111" s="43"/>
      <c r="I111" s="43"/>
      <c r="J111" s="43"/>
      <c r="K111" s="43"/>
      <c r="L111" s="43"/>
      <c r="M111" s="43"/>
      <c r="N111" s="43"/>
      <c r="O111" s="43"/>
      <c r="P111" s="43"/>
      <c r="Q111" s="43"/>
      <c r="R111" s="43"/>
      <c r="S111" s="43"/>
      <c r="T111" s="43"/>
      <c r="U111" s="43"/>
      <c r="V111" s="43"/>
      <c r="W111" s="43"/>
      <c r="X111" s="43"/>
      <c r="Y111" s="43"/>
      <c r="Z111" s="43"/>
      <c r="AA111" s="43"/>
      <c r="AB111" s="43"/>
      <c r="AC111" s="43"/>
      <c r="AD111" s="43"/>
      <c r="AE111" s="43"/>
      <c r="AF111" s="43"/>
    </row>
    <row r="112" spans="1:32" ht="13.2" customHeight="1" x14ac:dyDescent="0.25">
      <c r="A112" s="55" t="s">
        <v>60</v>
      </c>
      <c r="B112" s="6" t="s">
        <v>137</v>
      </c>
      <c r="C112" s="43"/>
      <c r="D112" s="43"/>
      <c r="E112" s="43"/>
      <c r="F112" s="43"/>
      <c r="G112" s="43"/>
      <c r="H112" s="43"/>
      <c r="I112" s="43"/>
      <c r="J112" s="43"/>
      <c r="K112" s="43"/>
      <c r="L112" s="43"/>
      <c r="M112" s="43"/>
      <c r="N112" s="43"/>
      <c r="O112" s="43"/>
      <c r="P112" s="43"/>
      <c r="Q112" s="43"/>
      <c r="R112" s="43"/>
      <c r="S112" s="43"/>
      <c r="T112" s="43"/>
      <c r="U112" s="43"/>
      <c r="V112" s="43"/>
      <c r="W112" s="43"/>
      <c r="X112" s="43"/>
      <c r="Y112" s="43"/>
      <c r="Z112" s="43"/>
      <c r="AA112" s="43"/>
      <c r="AB112" s="43"/>
      <c r="AC112" s="43"/>
      <c r="AD112" s="43"/>
      <c r="AE112" s="43"/>
      <c r="AF112" s="43"/>
    </row>
    <row r="113" spans="1:32" ht="40.799999999999997" customHeight="1" x14ac:dyDescent="0.25">
      <c r="A113" s="31" t="s">
        <v>61</v>
      </c>
      <c r="B113" s="9" t="s">
        <v>221</v>
      </c>
      <c r="C113" s="43"/>
      <c r="D113" s="43"/>
      <c r="E113" s="43"/>
      <c r="F113" s="43"/>
      <c r="G113" s="43"/>
      <c r="H113" s="43"/>
      <c r="I113" s="43"/>
      <c r="J113" s="43"/>
      <c r="K113" s="43"/>
      <c r="L113" s="43"/>
      <c r="M113" s="43"/>
      <c r="N113" s="43"/>
      <c r="O113" s="43"/>
      <c r="P113" s="43"/>
      <c r="Q113" s="43"/>
      <c r="R113" s="43"/>
      <c r="S113" s="43"/>
      <c r="T113" s="43"/>
      <c r="U113" s="43"/>
      <c r="V113" s="43"/>
      <c r="W113" s="43"/>
      <c r="X113" s="43"/>
      <c r="Y113" s="43"/>
      <c r="Z113" s="43"/>
      <c r="AA113" s="43"/>
      <c r="AB113" s="43"/>
      <c r="AC113" s="43"/>
      <c r="AD113" s="43"/>
      <c r="AE113" s="43"/>
      <c r="AF113" s="43"/>
    </row>
    <row r="114" spans="1:32" x14ac:dyDescent="0.25">
      <c r="A114" s="28" t="s">
        <v>107</v>
      </c>
      <c r="B114" s="28"/>
      <c r="C114" s="43"/>
      <c r="D114" s="43"/>
      <c r="E114" s="43"/>
      <c r="F114" s="43"/>
      <c r="G114" s="43"/>
      <c r="H114" s="43"/>
      <c r="I114" s="43"/>
      <c r="J114" s="43"/>
      <c r="K114" s="43"/>
      <c r="L114" s="43"/>
      <c r="M114" s="43"/>
      <c r="N114" s="43"/>
      <c r="O114" s="43"/>
      <c r="P114" s="43"/>
      <c r="Q114" s="43"/>
      <c r="R114" s="43"/>
      <c r="S114" s="43"/>
      <c r="T114" s="43"/>
      <c r="U114" s="43"/>
      <c r="V114" s="43"/>
      <c r="W114" s="43"/>
      <c r="X114" s="43"/>
      <c r="Y114" s="43"/>
      <c r="Z114" s="43"/>
      <c r="AA114" s="43"/>
      <c r="AB114" s="43"/>
      <c r="AC114" s="43"/>
      <c r="AD114" s="43"/>
      <c r="AE114" s="43"/>
      <c r="AF114" s="43"/>
    </row>
    <row r="115" spans="1:32" x14ac:dyDescent="0.25">
      <c r="A115" s="49" t="s">
        <v>92</v>
      </c>
      <c r="B115" s="50"/>
      <c r="C115" s="43"/>
      <c r="D115" s="43"/>
      <c r="E115" s="43"/>
      <c r="F115" s="43"/>
      <c r="G115" s="43"/>
      <c r="H115" s="43"/>
      <c r="I115" s="43"/>
      <c r="J115" s="43"/>
      <c r="K115" s="43"/>
      <c r="L115" s="43"/>
      <c r="M115" s="43"/>
      <c r="N115" s="43"/>
      <c r="O115" s="43"/>
      <c r="P115" s="43"/>
      <c r="Q115" s="43"/>
      <c r="R115" s="43"/>
      <c r="S115" s="43"/>
      <c r="T115" s="43"/>
      <c r="U115" s="43"/>
      <c r="V115" s="43"/>
      <c r="W115" s="43"/>
      <c r="X115" s="43"/>
      <c r="Y115" s="43"/>
      <c r="Z115" s="43"/>
      <c r="AA115" s="43"/>
      <c r="AB115" s="43"/>
      <c r="AC115" s="43"/>
      <c r="AD115" s="43"/>
      <c r="AE115" s="43"/>
      <c r="AF115" s="43"/>
    </row>
    <row r="116" spans="1:32" ht="20.399999999999999" customHeight="1" x14ac:dyDescent="0.25">
      <c r="A116" s="56" t="s">
        <v>90</v>
      </c>
      <c r="B116" s="40" t="s">
        <v>190</v>
      </c>
      <c r="C116" s="43"/>
      <c r="D116" s="43"/>
      <c r="E116" s="43"/>
      <c r="F116" s="43"/>
      <c r="G116" s="43"/>
      <c r="H116" s="43"/>
      <c r="I116" s="43"/>
      <c r="J116" s="43"/>
      <c r="K116" s="43"/>
      <c r="L116" s="43"/>
      <c r="M116" s="43"/>
      <c r="N116" s="43"/>
      <c r="O116" s="43"/>
      <c r="P116" s="43"/>
      <c r="Q116" s="43"/>
      <c r="R116" s="43"/>
      <c r="S116" s="43"/>
      <c r="T116" s="43"/>
      <c r="U116" s="43"/>
      <c r="V116" s="43"/>
      <c r="W116" s="43"/>
      <c r="X116" s="43"/>
      <c r="Y116" s="43"/>
      <c r="Z116" s="43"/>
      <c r="AA116" s="43"/>
      <c r="AB116" s="43"/>
      <c r="AC116" s="43"/>
      <c r="AD116" s="43"/>
      <c r="AE116" s="43"/>
      <c r="AF116" s="43"/>
    </row>
    <row r="117" spans="1:32" ht="20.399999999999999" customHeight="1" x14ac:dyDescent="0.25">
      <c r="A117" s="56" t="s">
        <v>91</v>
      </c>
      <c r="B117" s="40" t="s">
        <v>207</v>
      </c>
      <c r="C117" s="43"/>
      <c r="D117" s="43"/>
      <c r="E117" s="43"/>
      <c r="F117" s="43"/>
      <c r="G117" s="43"/>
      <c r="H117" s="43"/>
      <c r="I117" s="43"/>
      <c r="J117" s="43"/>
      <c r="K117" s="43"/>
      <c r="L117" s="43"/>
      <c r="M117" s="43"/>
      <c r="N117" s="43"/>
      <c r="O117" s="43"/>
      <c r="P117" s="43"/>
      <c r="Q117" s="43"/>
      <c r="R117" s="43"/>
      <c r="S117" s="43"/>
      <c r="T117" s="43"/>
      <c r="U117" s="43"/>
      <c r="V117" s="43"/>
      <c r="W117" s="43"/>
      <c r="X117" s="43"/>
      <c r="Y117" s="43"/>
      <c r="Z117" s="43"/>
      <c r="AA117" s="43"/>
      <c r="AB117" s="43"/>
      <c r="AC117" s="43"/>
      <c r="AD117" s="43"/>
      <c r="AE117" s="43"/>
      <c r="AF117" s="43"/>
    </row>
    <row r="118" spans="1:32" ht="30.6" customHeight="1" x14ac:dyDescent="0.25">
      <c r="A118" s="56" t="s">
        <v>93</v>
      </c>
      <c r="B118" s="40" t="s">
        <v>191</v>
      </c>
      <c r="C118" s="43"/>
      <c r="D118" s="43"/>
      <c r="E118" s="43"/>
      <c r="F118" s="43"/>
      <c r="G118" s="43"/>
      <c r="H118" s="43"/>
      <c r="I118" s="43"/>
      <c r="J118" s="43"/>
      <c r="K118" s="43"/>
      <c r="L118" s="43"/>
      <c r="M118" s="43"/>
      <c r="N118" s="43"/>
      <c r="O118" s="43"/>
      <c r="P118" s="43"/>
      <c r="Q118" s="43"/>
      <c r="R118" s="43"/>
      <c r="S118" s="43"/>
      <c r="T118" s="43"/>
      <c r="U118" s="43"/>
      <c r="V118" s="43"/>
      <c r="W118" s="43"/>
      <c r="X118" s="43"/>
      <c r="Y118" s="43"/>
      <c r="Z118" s="43"/>
      <c r="AA118" s="43"/>
      <c r="AB118" s="43"/>
      <c r="AC118" s="43"/>
      <c r="AD118" s="43"/>
      <c r="AE118" s="43"/>
      <c r="AF118" s="43"/>
    </row>
    <row r="119" spans="1:32" ht="24.6" customHeight="1" x14ac:dyDescent="0.25">
      <c r="A119" s="56" t="s">
        <v>94</v>
      </c>
      <c r="B119" s="35" t="s">
        <v>143</v>
      </c>
      <c r="C119" s="43"/>
      <c r="D119" s="43"/>
      <c r="E119" s="43"/>
      <c r="F119" s="43"/>
      <c r="G119" s="43"/>
      <c r="H119" s="43"/>
      <c r="I119" s="43"/>
      <c r="J119" s="43"/>
      <c r="K119" s="43"/>
      <c r="L119" s="43"/>
      <c r="M119" s="43"/>
      <c r="N119" s="43"/>
      <c r="O119" s="43"/>
      <c r="P119" s="43"/>
      <c r="Q119" s="43"/>
      <c r="R119" s="43"/>
      <c r="S119" s="43"/>
      <c r="T119" s="43"/>
      <c r="U119" s="43"/>
      <c r="V119" s="43"/>
      <c r="W119" s="43"/>
      <c r="X119" s="43"/>
      <c r="Y119" s="43"/>
      <c r="Z119" s="43"/>
      <c r="AA119" s="43"/>
      <c r="AB119" s="43"/>
      <c r="AC119" s="43"/>
      <c r="AD119" s="43"/>
      <c r="AE119" s="43"/>
      <c r="AF119" s="43"/>
    </row>
    <row r="120" spans="1:32" x14ac:dyDescent="0.25">
      <c r="A120" s="57" t="s">
        <v>98</v>
      </c>
      <c r="B120" s="44"/>
      <c r="C120" s="43"/>
      <c r="D120" s="43"/>
      <c r="E120" s="43"/>
      <c r="F120" s="43"/>
      <c r="G120" s="43"/>
      <c r="H120" s="43"/>
      <c r="I120" s="43"/>
      <c r="J120" s="43"/>
      <c r="K120" s="43"/>
      <c r="L120" s="43"/>
      <c r="M120" s="43"/>
      <c r="N120" s="43"/>
      <c r="O120" s="43"/>
      <c r="P120" s="43"/>
      <c r="Q120" s="43"/>
      <c r="R120" s="43"/>
      <c r="S120" s="43"/>
      <c r="T120" s="43"/>
      <c r="U120" s="43"/>
      <c r="V120" s="43"/>
      <c r="W120" s="43"/>
      <c r="X120" s="43"/>
      <c r="Y120" s="43"/>
      <c r="Z120" s="43"/>
      <c r="AA120" s="43"/>
      <c r="AB120" s="43"/>
      <c r="AC120" s="43"/>
      <c r="AD120" s="43"/>
      <c r="AE120" s="43"/>
      <c r="AF120" s="43"/>
    </row>
    <row r="121" spans="1:32" ht="13.2" customHeight="1" x14ac:dyDescent="0.25">
      <c r="A121" s="56" t="s">
        <v>95</v>
      </c>
      <c r="B121" s="36" t="s">
        <v>148</v>
      </c>
      <c r="C121" s="43"/>
      <c r="D121" s="43"/>
      <c r="E121" s="43"/>
      <c r="F121" s="43"/>
      <c r="G121" s="43"/>
      <c r="H121" s="43"/>
      <c r="I121" s="43"/>
      <c r="J121" s="43"/>
      <c r="K121" s="43"/>
      <c r="L121" s="43"/>
      <c r="M121" s="43"/>
      <c r="N121" s="43"/>
      <c r="O121" s="43"/>
      <c r="P121" s="43"/>
      <c r="Q121" s="43"/>
      <c r="R121" s="43"/>
      <c r="S121" s="43"/>
      <c r="T121" s="43"/>
      <c r="U121" s="43"/>
      <c r="V121" s="43"/>
      <c r="W121" s="43"/>
      <c r="X121" s="43"/>
      <c r="Y121" s="43"/>
      <c r="Z121" s="43"/>
      <c r="AA121" s="43"/>
      <c r="AB121" s="43"/>
      <c r="AC121" s="43"/>
      <c r="AD121" s="43"/>
      <c r="AE121" s="43"/>
      <c r="AF121" s="43"/>
    </row>
    <row r="122" spans="1:32" ht="13.2" customHeight="1" x14ac:dyDescent="0.25">
      <c r="A122" s="56" t="s">
        <v>96</v>
      </c>
      <c r="B122" s="36" t="s">
        <v>149</v>
      </c>
      <c r="C122" s="43"/>
      <c r="D122" s="43"/>
      <c r="E122" s="43"/>
      <c r="F122" s="43"/>
      <c r="G122" s="43"/>
      <c r="H122" s="43"/>
      <c r="I122" s="43"/>
      <c r="J122" s="43"/>
      <c r="K122" s="43"/>
      <c r="L122" s="43"/>
      <c r="M122" s="43"/>
      <c r="N122" s="43"/>
      <c r="O122" s="43"/>
      <c r="P122" s="43"/>
      <c r="Q122" s="43"/>
      <c r="R122" s="43"/>
      <c r="S122" s="43"/>
      <c r="T122" s="43"/>
      <c r="U122" s="43"/>
      <c r="V122" s="43"/>
      <c r="W122" s="43"/>
      <c r="X122" s="43"/>
      <c r="Y122" s="43"/>
      <c r="Z122" s="43"/>
      <c r="AA122" s="43"/>
      <c r="AB122" s="43"/>
      <c r="AC122" s="43"/>
      <c r="AD122" s="43"/>
      <c r="AE122" s="43"/>
      <c r="AF122" s="43"/>
    </row>
    <row r="123" spans="1:32" ht="20.399999999999999" customHeight="1" x14ac:dyDescent="0.25">
      <c r="A123" s="30" t="s">
        <v>97</v>
      </c>
      <c r="B123" s="35" t="s">
        <v>144</v>
      </c>
      <c r="C123" s="43"/>
      <c r="D123" s="43"/>
      <c r="E123" s="43"/>
      <c r="F123" s="43"/>
      <c r="G123" s="43"/>
      <c r="H123" s="43"/>
      <c r="I123" s="43"/>
      <c r="J123" s="43"/>
      <c r="K123" s="43"/>
      <c r="L123" s="43"/>
      <c r="M123" s="43"/>
      <c r="N123" s="43"/>
      <c r="O123" s="43"/>
      <c r="P123" s="43"/>
      <c r="Q123" s="43"/>
      <c r="R123" s="43"/>
      <c r="S123" s="43"/>
      <c r="T123" s="43"/>
      <c r="U123" s="43"/>
      <c r="V123" s="43"/>
      <c r="W123" s="43"/>
      <c r="X123" s="43"/>
      <c r="Y123" s="43"/>
      <c r="Z123" s="43"/>
      <c r="AA123" s="43"/>
      <c r="AB123" s="43"/>
      <c r="AC123" s="43"/>
      <c r="AD123" s="43"/>
      <c r="AE123" s="43"/>
      <c r="AF123" s="43"/>
    </row>
    <row r="124" spans="1:32" ht="30.6" customHeight="1" x14ac:dyDescent="0.25">
      <c r="A124" s="58" t="s">
        <v>62</v>
      </c>
      <c r="B124" s="35" t="s">
        <v>102</v>
      </c>
      <c r="C124" s="43"/>
      <c r="D124" s="43"/>
      <c r="E124" s="43"/>
      <c r="F124" s="43"/>
      <c r="G124" s="43"/>
      <c r="H124" s="43"/>
      <c r="I124" s="43"/>
      <c r="J124" s="43"/>
      <c r="K124" s="43"/>
      <c r="L124" s="43"/>
      <c r="M124" s="43"/>
      <c r="N124" s="43"/>
      <c r="O124" s="43"/>
      <c r="P124" s="43"/>
      <c r="Q124" s="43"/>
      <c r="R124" s="43"/>
      <c r="S124" s="43"/>
      <c r="T124" s="43"/>
      <c r="U124" s="43"/>
      <c r="V124" s="43"/>
      <c r="W124" s="43"/>
      <c r="X124" s="43"/>
      <c r="Y124" s="43"/>
      <c r="Z124" s="43"/>
      <c r="AA124" s="43"/>
      <c r="AB124" s="43"/>
      <c r="AC124" s="43"/>
      <c r="AD124" s="43"/>
      <c r="AE124" s="43"/>
      <c r="AF124" s="43"/>
    </row>
    <row r="125" spans="1:32" s="39" customFormat="1" ht="40.799999999999997" customHeight="1" x14ac:dyDescent="0.25">
      <c r="A125" s="58" t="s">
        <v>63</v>
      </c>
      <c r="B125" s="40" t="s">
        <v>192</v>
      </c>
      <c r="C125" s="43"/>
      <c r="D125" s="43"/>
      <c r="E125" s="43"/>
      <c r="F125" s="43"/>
      <c r="G125" s="43"/>
      <c r="H125" s="43"/>
      <c r="I125" s="43"/>
      <c r="J125" s="43"/>
      <c r="K125" s="43"/>
      <c r="L125" s="43"/>
      <c r="M125" s="43"/>
      <c r="N125" s="43"/>
      <c r="O125" s="43"/>
      <c r="P125" s="43"/>
      <c r="Q125" s="43"/>
      <c r="R125" s="43"/>
      <c r="S125" s="43"/>
      <c r="T125" s="43"/>
      <c r="U125" s="43"/>
      <c r="V125" s="43"/>
      <c r="W125" s="43"/>
      <c r="X125" s="43"/>
      <c r="Y125" s="43"/>
      <c r="Z125" s="43"/>
      <c r="AA125" s="43"/>
      <c r="AB125" s="43"/>
      <c r="AC125" s="43"/>
      <c r="AD125" s="43"/>
      <c r="AE125" s="43"/>
      <c r="AF125" s="43"/>
    </row>
    <row r="126" spans="1:32" x14ac:dyDescent="0.25">
      <c r="A126" s="37" t="s">
        <v>106</v>
      </c>
      <c r="B126" s="38"/>
      <c r="C126" s="43"/>
      <c r="D126" s="43"/>
      <c r="E126" s="43"/>
      <c r="F126" s="43"/>
      <c r="G126" s="43"/>
      <c r="H126" s="43"/>
      <c r="I126" s="43"/>
      <c r="J126" s="43"/>
      <c r="K126" s="43"/>
      <c r="L126" s="43"/>
      <c r="M126" s="43"/>
      <c r="N126" s="43"/>
      <c r="O126" s="43"/>
      <c r="P126" s="43"/>
      <c r="Q126" s="43"/>
      <c r="R126" s="43"/>
      <c r="S126" s="43"/>
      <c r="T126" s="43"/>
      <c r="U126" s="43"/>
      <c r="V126" s="43"/>
      <c r="W126" s="43"/>
      <c r="X126" s="43"/>
      <c r="Y126" s="43"/>
      <c r="Z126" s="43"/>
      <c r="AA126" s="43"/>
      <c r="AB126" s="43"/>
      <c r="AC126" s="43"/>
      <c r="AD126" s="43"/>
      <c r="AE126" s="43"/>
      <c r="AF126" s="43"/>
    </row>
    <row r="127" spans="1:32" ht="13.2" customHeight="1" x14ac:dyDescent="0.25">
      <c r="A127" s="36" t="s">
        <v>103</v>
      </c>
      <c r="B127" s="36" t="s">
        <v>109</v>
      </c>
      <c r="C127" s="43"/>
      <c r="D127" s="43"/>
      <c r="E127" s="43"/>
      <c r="F127" s="43"/>
      <c r="G127" s="43"/>
      <c r="H127" s="43"/>
      <c r="I127" s="43"/>
      <c r="J127" s="43"/>
      <c r="K127" s="43"/>
      <c r="L127" s="43"/>
      <c r="M127" s="43"/>
      <c r="N127" s="43"/>
      <c r="O127" s="43"/>
      <c r="P127" s="43"/>
      <c r="Q127" s="43"/>
      <c r="R127" s="43"/>
      <c r="S127" s="43"/>
      <c r="T127" s="43"/>
      <c r="U127" s="43"/>
      <c r="V127" s="43"/>
      <c r="W127" s="43"/>
      <c r="X127" s="43"/>
      <c r="Y127" s="43"/>
      <c r="Z127" s="43"/>
      <c r="AA127" s="43"/>
      <c r="AB127" s="43"/>
      <c r="AC127" s="43"/>
      <c r="AD127" s="43"/>
      <c r="AE127" s="43"/>
      <c r="AF127" s="43"/>
    </row>
    <row r="128" spans="1:32" ht="13.2" customHeight="1" x14ac:dyDescent="0.25">
      <c r="A128" s="35" t="s">
        <v>104</v>
      </c>
      <c r="B128" s="36" t="s">
        <v>117</v>
      </c>
      <c r="C128" s="43"/>
      <c r="D128" s="43"/>
      <c r="E128" s="43"/>
      <c r="F128" s="43"/>
      <c r="G128" s="43"/>
      <c r="H128" s="43"/>
      <c r="I128" s="43"/>
      <c r="J128" s="43"/>
      <c r="K128" s="43"/>
      <c r="L128" s="43"/>
      <c r="M128" s="43"/>
      <c r="N128" s="43"/>
      <c r="O128" s="43"/>
      <c r="P128" s="43"/>
      <c r="Q128" s="43"/>
      <c r="R128" s="43"/>
      <c r="S128" s="43"/>
      <c r="T128" s="43"/>
      <c r="U128" s="43"/>
      <c r="V128" s="43"/>
      <c r="W128" s="43"/>
      <c r="X128" s="43"/>
      <c r="Y128" s="43"/>
      <c r="Z128" s="43"/>
      <c r="AA128" s="43"/>
      <c r="AB128" s="43"/>
      <c r="AC128" s="43"/>
      <c r="AD128" s="43"/>
      <c r="AE128" s="43"/>
      <c r="AF128" s="43"/>
    </row>
    <row r="129" spans="1:32" ht="20.399999999999999" customHeight="1" x14ac:dyDescent="0.25">
      <c r="A129" s="36" t="s">
        <v>105</v>
      </c>
      <c r="B129" s="35" t="s">
        <v>108</v>
      </c>
      <c r="C129" s="43"/>
      <c r="D129" s="43"/>
      <c r="E129" s="43"/>
      <c r="F129" s="43"/>
      <c r="G129" s="43"/>
      <c r="H129" s="43"/>
      <c r="I129" s="43"/>
      <c r="J129" s="43"/>
      <c r="K129" s="43"/>
      <c r="L129" s="43"/>
      <c r="M129" s="43"/>
      <c r="N129" s="43"/>
      <c r="O129" s="43"/>
      <c r="P129" s="43"/>
      <c r="Q129" s="43"/>
      <c r="R129" s="43"/>
      <c r="S129" s="43"/>
      <c r="T129" s="43"/>
      <c r="U129" s="43"/>
      <c r="V129" s="43"/>
      <c r="W129" s="43"/>
      <c r="X129" s="43"/>
      <c r="Y129" s="43"/>
      <c r="Z129" s="43"/>
      <c r="AA129" s="43"/>
      <c r="AB129" s="43"/>
      <c r="AC129" s="43"/>
      <c r="AD129" s="43"/>
      <c r="AE129" s="43"/>
      <c r="AF129" s="43"/>
    </row>
    <row r="130" spans="1:32" x14ac:dyDescent="0.25">
      <c r="A130" s="45" t="s">
        <v>113</v>
      </c>
      <c r="B130" s="36"/>
      <c r="C130" s="43"/>
      <c r="D130" s="43"/>
      <c r="E130" s="43"/>
      <c r="F130" s="43"/>
      <c r="G130" s="43"/>
      <c r="H130" s="43"/>
      <c r="I130" s="43"/>
      <c r="J130" s="43"/>
      <c r="K130" s="43"/>
      <c r="L130" s="43"/>
      <c r="M130" s="43"/>
      <c r="N130" s="43"/>
      <c r="O130" s="43"/>
      <c r="P130" s="43"/>
      <c r="Q130" s="43"/>
      <c r="R130" s="43"/>
      <c r="S130" s="43"/>
      <c r="T130" s="43"/>
      <c r="U130" s="43"/>
      <c r="V130" s="43"/>
      <c r="W130" s="43"/>
      <c r="X130" s="43"/>
      <c r="Y130" s="43"/>
      <c r="Z130" s="43"/>
      <c r="AA130" s="43"/>
      <c r="AB130" s="43"/>
      <c r="AC130" s="43"/>
      <c r="AD130" s="43"/>
      <c r="AE130" s="43"/>
      <c r="AF130" s="43"/>
    </row>
    <row r="131" spans="1:32" x14ac:dyDescent="0.25">
      <c r="A131" s="45" t="s">
        <v>142</v>
      </c>
      <c r="B131" s="36"/>
      <c r="C131" s="43"/>
      <c r="D131" s="43"/>
      <c r="E131" s="43"/>
      <c r="F131" s="43"/>
      <c r="G131" s="43"/>
      <c r="H131" s="43"/>
      <c r="I131" s="43"/>
      <c r="J131" s="43"/>
      <c r="K131" s="43"/>
      <c r="L131" s="43"/>
      <c r="M131" s="43"/>
      <c r="N131" s="43"/>
      <c r="O131" s="43"/>
      <c r="P131" s="43"/>
      <c r="Q131" s="43"/>
      <c r="R131" s="43"/>
      <c r="S131" s="43"/>
      <c r="T131" s="43"/>
      <c r="U131" s="43"/>
      <c r="V131" s="43"/>
      <c r="W131" s="43"/>
      <c r="X131" s="43"/>
      <c r="Y131" s="43"/>
      <c r="Z131" s="43"/>
      <c r="AA131" s="43"/>
      <c r="AB131" s="43"/>
      <c r="AC131" s="43"/>
      <c r="AD131" s="43"/>
      <c r="AE131" s="43"/>
      <c r="AF131" s="43"/>
    </row>
    <row r="132" spans="1:32" ht="13.2" customHeight="1" x14ac:dyDescent="0.25">
      <c r="A132" s="36" t="s">
        <v>114</v>
      </c>
      <c r="B132" s="36" t="s">
        <v>145</v>
      </c>
      <c r="C132" s="43"/>
      <c r="D132" s="43"/>
      <c r="E132" s="43"/>
      <c r="F132" s="43"/>
      <c r="G132" s="43"/>
      <c r="H132" s="43"/>
      <c r="I132" s="43"/>
      <c r="J132" s="43"/>
      <c r="K132" s="43"/>
      <c r="L132" s="43"/>
      <c r="M132" s="43"/>
      <c r="N132" s="43"/>
      <c r="O132" s="43"/>
      <c r="P132" s="43"/>
      <c r="Q132" s="43"/>
      <c r="R132" s="43"/>
      <c r="S132" s="43"/>
      <c r="T132" s="43"/>
      <c r="U132" s="43"/>
      <c r="V132" s="43"/>
      <c r="W132" s="43"/>
      <c r="X132" s="43"/>
      <c r="Y132" s="43"/>
      <c r="Z132" s="43"/>
      <c r="AA132" s="43"/>
      <c r="AB132" s="43"/>
      <c r="AC132" s="43"/>
      <c r="AD132" s="43"/>
      <c r="AE132" s="43"/>
      <c r="AF132" s="43"/>
    </row>
    <row r="133" spans="1:32" ht="13.2" customHeight="1" x14ac:dyDescent="0.25">
      <c r="A133" s="36" t="s">
        <v>115</v>
      </c>
      <c r="B133" s="36" t="s">
        <v>146</v>
      </c>
      <c r="C133" s="43"/>
      <c r="D133" s="43"/>
      <c r="E133" s="43"/>
      <c r="F133" s="43"/>
      <c r="G133" s="43"/>
      <c r="H133" s="43"/>
      <c r="I133" s="43"/>
      <c r="J133" s="43"/>
      <c r="K133" s="43"/>
      <c r="L133" s="43"/>
      <c r="M133" s="43"/>
      <c r="N133" s="43"/>
      <c r="O133" s="43"/>
      <c r="P133" s="43"/>
      <c r="Q133" s="43"/>
      <c r="R133" s="43"/>
      <c r="S133" s="43"/>
      <c r="T133" s="43"/>
      <c r="U133" s="43"/>
      <c r="V133" s="43"/>
      <c r="W133" s="43"/>
      <c r="X133" s="43"/>
      <c r="Y133" s="43"/>
      <c r="Z133" s="43"/>
      <c r="AA133" s="43"/>
      <c r="AB133" s="43"/>
      <c r="AC133" s="43"/>
      <c r="AD133" s="43"/>
      <c r="AE133" s="43"/>
      <c r="AF133" s="43"/>
    </row>
    <row r="134" spans="1:32" x14ac:dyDescent="0.25">
      <c r="A134" s="10" t="s">
        <v>64</v>
      </c>
      <c r="B134" s="6" t="s">
        <v>116</v>
      </c>
    </row>
    <row r="135" spans="1:32" ht="13.2" customHeight="1" x14ac:dyDescent="0.25">
      <c r="A135" s="10" t="s">
        <v>65</v>
      </c>
      <c r="B135" s="48" t="s">
        <v>118</v>
      </c>
    </row>
    <row r="136" spans="1:32" ht="20.399999999999999" customHeight="1" x14ac:dyDescent="0.25">
      <c r="A136" s="10" t="s">
        <v>66</v>
      </c>
      <c r="B136" s="48" t="s">
        <v>193</v>
      </c>
    </row>
    <row r="137" spans="1:32" ht="13.2" customHeight="1" x14ac:dyDescent="0.25">
      <c r="A137" s="15" t="s">
        <v>67</v>
      </c>
      <c r="B137" s="30" t="s">
        <v>147</v>
      </c>
    </row>
  </sheetData>
  <dataConsolidate/>
  <mergeCells count="2">
    <mergeCell ref="A66:B66"/>
    <mergeCell ref="A71:B71"/>
  </mergeCells>
  <pageMargins left="0.7" right="0.7" top="0.75" bottom="0.75" header="0.3" footer="0.3"/>
  <pageSetup orientation="portrait" r:id="rId1"/>
</worksheet>
</file>

<file path=docProps/app.xml><?xml version="1.0" encoding="utf-8"?>
<Properties xmlns="http://schemas.openxmlformats.org/officeDocument/2006/extended-properties" xmlns:vt="http://schemas.openxmlformats.org/officeDocument/2006/docPropsVTypes">
  <TotalTime>0</TotalTime>
  <Application>Microsoft Excel</Application>
  <DocSecurity>0</DocSecurity>
  <ScaleCrop>false</ScaleCrop>
  <HeadingPairs>
    <vt:vector size="2" baseType="variant">
      <vt:variant>
        <vt:lpstr>Worksheets</vt:lpstr>
      </vt:variant>
      <vt:variant>
        <vt:i4>1</vt:i4>
      </vt:variant>
    </vt:vector>
  </HeadingPairs>
  <TitlesOfParts>
    <vt:vector size="1" baseType="lpstr">
      <vt:lpstr>IMS lauki_2014-2020</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AFIS-IMS_ExportTemplate</dc:title>
  <dc:subject>Template for the IMS Export</dc:subject>
  <dc:creator>Oana Bazavan</dc:creator>
  <cp:lastModifiedBy>Elīna Briļa</cp:lastModifiedBy>
  <cp:revision>0</cp:revision>
  <dcterms:created xsi:type="dcterms:W3CDTF">2011-07-19T16:06:46Z</dcterms:created>
  <dcterms:modified xsi:type="dcterms:W3CDTF">2021-02-03T09:50:40Z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IS_IMS_Export_Version">
    <vt:i4>3</vt:i4>
  </property>
</Properties>
</file>